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2D" w:rsidRPr="0082122D" w:rsidRDefault="0082122D" w:rsidP="0082122D">
      <w:pPr>
        <w:spacing w:after="160" w:line="259" w:lineRule="auto"/>
        <w:rPr>
          <w:rFonts w:ascii="Arial" w:eastAsia="Calibri" w:hAnsi="Arial" w:cs="Arial"/>
        </w:rPr>
      </w:pPr>
    </w:p>
    <w:p w:rsidR="0082122D" w:rsidRPr="0082122D" w:rsidRDefault="0082122D" w:rsidP="0082122D">
      <w:pPr>
        <w:spacing w:after="160" w:line="259" w:lineRule="auto"/>
        <w:rPr>
          <w:rFonts w:ascii="Arial" w:eastAsia="Calibri" w:hAnsi="Arial" w:cs="Arial"/>
        </w:rPr>
      </w:pPr>
    </w:p>
    <w:p w:rsidR="0082122D" w:rsidRPr="0082122D" w:rsidRDefault="0082122D" w:rsidP="0082122D">
      <w:pPr>
        <w:spacing w:after="160" w:line="259" w:lineRule="auto"/>
        <w:rPr>
          <w:rFonts w:ascii="Arial" w:eastAsia="Calibri" w:hAnsi="Arial" w:cs="Arial"/>
        </w:rPr>
      </w:pPr>
    </w:p>
    <w:p w:rsidR="0082122D" w:rsidRPr="0082122D" w:rsidRDefault="0082122D" w:rsidP="0082122D">
      <w:pPr>
        <w:spacing w:after="160" w:line="259" w:lineRule="auto"/>
        <w:rPr>
          <w:rFonts w:ascii="Arial" w:eastAsia="Calibri" w:hAnsi="Arial" w:cs="Arial"/>
        </w:rPr>
      </w:pPr>
    </w:p>
    <w:p w:rsidR="0082122D" w:rsidRPr="0082122D" w:rsidRDefault="0082122D" w:rsidP="0082122D">
      <w:pPr>
        <w:spacing w:after="160" w:line="259" w:lineRule="auto"/>
        <w:rPr>
          <w:rFonts w:ascii="Arial" w:eastAsia="Calibri" w:hAnsi="Arial" w:cs="Arial"/>
        </w:rPr>
      </w:pPr>
    </w:p>
    <w:p w:rsidR="0082122D" w:rsidRDefault="0082122D" w:rsidP="0082122D">
      <w:pPr>
        <w:spacing w:after="160" w:line="259" w:lineRule="auto"/>
        <w:jc w:val="center"/>
        <w:rPr>
          <w:rFonts w:ascii="Arial" w:eastAsia="Calibri" w:hAnsi="Arial" w:cs="Arial"/>
          <w:b/>
          <w:sz w:val="48"/>
          <w:szCs w:val="32"/>
        </w:rPr>
      </w:pPr>
      <w:bookmarkStart w:id="0" w:name="_GoBack"/>
      <w:bookmarkEnd w:id="0"/>
      <w:r>
        <w:rPr>
          <w:rFonts w:ascii="Arial" w:eastAsia="Calibri" w:hAnsi="Arial" w:cs="Arial"/>
          <w:b/>
          <w:sz w:val="48"/>
          <w:szCs w:val="32"/>
        </w:rPr>
        <w:t>Průběžná zpráva</w:t>
      </w:r>
    </w:p>
    <w:p w:rsidR="0082122D" w:rsidRPr="0082122D" w:rsidRDefault="0082122D" w:rsidP="0082122D">
      <w:pPr>
        <w:spacing w:after="160" w:line="259" w:lineRule="auto"/>
        <w:jc w:val="center"/>
        <w:rPr>
          <w:rFonts w:ascii="Arial" w:eastAsia="Calibri" w:hAnsi="Arial" w:cs="Arial"/>
          <w:b/>
          <w:sz w:val="48"/>
          <w:szCs w:val="32"/>
        </w:rPr>
      </w:pPr>
      <w:r>
        <w:rPr>
          <w:rFonts w:ascii="Arial" w:eastAsia="Calibri" w:hAnsi="Arial" w:cs="Arial"/>
          <w:b/>
          <w:sz w:val="48"/>
          <w:szCs w:val="32"/>
        </w:rPr>
        <w:t>o posuzování projektů Útvarem hlavního architekta eGovernmentu</w:t>
      </w:r>
    </w:p>
    <w:p w:rsidR="0082122D" w:rsidRPr="0082122D" w:rsidRDefault="0082122D" w:rsidP="0082122D">
      <w:pPr>
        <w:spacing w:after="160" w:line="259" w:lineRule="auto"/>
        <w:jc w:val="center"/>
        <w:rPr>
          <w:rFonts w:ascii="Arial" w:eastAsia="Calibri" w:hAnsi="Arial" w:cs="Arial"/>
          <w:sz w:val="48"/>
          <w:szCs w:val="32"/>
        </w:rPr>
      </w:pPr>
      <w:r>
        <w:rPr>
          <w:rFonts w:ascii="Arial" w:eastAsia="Calibri" w:hAnsi="Arial" w:cs="Arial"/>
          <w:sz w:val="48"/>
          <w:szCs w:val="32"/>
        </w:rPr>
        <w:t>za 1. pol. 2016</w:t>
      </w:r>
    </w:p>
    <w:p w:rsidR="0082122D" w:rsidRPr="0082122D" w:rsidRDefault="0082122D" w:rsidP="0082122D">
      <w:pPr>
        <w:spacing w:after="160" w:line="259" w:lineRule="auto"/>
        <w:rPr>
          <w:rFonts w:ascii="Arial" w:eastAsia="Calibri" w:hAnsi="Arial" w:cs="Arial"/>
        </w:rPr>
      </w:pPr>
    </w:p>
    <w:p w:rsidR="0082122D" w:rsidRPr="0082122D" w:rsidRDefault="0082122D" w:rsidP="0082122D">
      <w:pPr>
        <w:spacing w:after="160" w:line="259" w:lineRule="auto"/>
        <w:rPr>
          <w:rFonts w:ascii="Arial" w:eastAsia="Calibri" w:hAnsi="Arial" w:cs="Arial"/>
        </w:rPr>
      </w:pPr>
    </w:p>
    <w:p w:rsidR="0082122D" w:rsidRPr="0082122D" w:rsidRDefault="0082122D" w:rsidP="0082122D">
      <w:pPr>
        <w:spacing w:after="160" w:line="259" w:lineRule="auto"/>
        <w:rPr>
          <w:rFonts w:ascii="Arial" w:eastAsia="Calibri" w:hAnsi="Arial" w:cs="Arial"/>
        </w:rPr>
      </w:pPr>
    </w:p>
    <w:p w:rsidR="0082122D" w:rsidRPr="0082122D" w:rsidRDefault="0082122D" w:rsidP="0082122D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2122D">
        <w:rPr>
          <w:rFonts w:ascii="Arial" w:eastAsia="Calibri" w:hAnsi="Arial" w:cs="Arial"/>
          <w:b/>
          <w:sz w:val="28"/>
          <w:szCs w:val="28"/>
        </w:rPr>
        <w:t>Odbor Hlavního architekta eGovernmentu MV</w:t>
      </w:r>
    </w:p>
    <w:p w:rsidR="0082122D" w:rsidRPr="0082122D" w:rsidRDefault="0082122D" w:rsidP="0082122D">
      <w:pPr>
        <w:spacing w:after="160" w:line="259" w:lineRule="auto"/>
        <w:rPr>
          <w:rFonts w:ascii="Arial" w:eastAsia="Calibri" w:hAnsi="Arial" w:cs="Arial"/>
        </w:rPr>
      </w:pPr>
    </w:p>
    <w:p w:rsidR="0082122D" w:rsidRPr="0082122D" w:rsidRDefault="0082122D" w:rsidP="0082122D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2122D">
        <w:rPr>
          <w:rFonts w:ascii="Arial" w:eastAsia="Calibri" w:hAnsi="Arial" w:cs="Arial"/>
          <w:b/>
          <w:noProof/>
          <w:sz w:val="32"/>
          <w:szCs w:val="32"/>
          <w:lang w:eastAsia="cs-CZ"/>
        </w:rPr>
        <w:drawing>
          <wp:inline distT="0" distB="0" distL="0" distR="0" wp14:anchorId="725F1A96" wp14:editId="458BF04B">
            <wp:extent cx="3617844" cy="255770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676" cy="255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22D" w:rsidRPr="0082122D" w:rsidRDefault="0082122D" w:rsidP="0082122D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2122D">
        <w:rPr>
          <w:rFonts w:ascii="Arial" w:eastAsia="Arial" w:hAnsi="Arial" w:cs="Arial"/>
          <w:b/>
          <w:bCs/>
          <w:sz w:val="32"/>
          <w:szCs w:val="32"/>
        </w:rPr>
        <w:t xml:space="preserve">Praha, </w:t>
      </w:r>
      <w:r w:rsidR="00D50357">
        <w:rPr>
          <w:rFonts w:ascii="Arial" w:eastAsia="Arial" w:hAnsi="Arial" w:cs="Arial"/>
          <w:b/>
          <w:bCs/>
          <w:sz w:val="32"/>
          <w:szCs w:val="32"/>
        </w:rPr>
        <w:t>1</w:t>
      </w:r>
      <w:r w:rsidR="007B45AD">
        <w:rPr>
          <w:rFonts w:ascii="Arial" w:eastAsia="Arial" w:hAnsi="Arial" w:cs="Arial"/>
          <w:b/>
          <w:bCs/>
          <w:sz w:val="32"/>
          <w:szCs w:val="32"/>
        </w:rPr>
        <w:t xml:space="preserve">. </w:t>
      </w:r>
      <w:r>
        <w:rPr>
          <w:rFonts w:ascii="Arial" w:eastAsia="Arial" w:hAnsi="Arial" w:cs="Arial"/>
          <w:b/>
          <w:bCs/>
          <w:sz w:val="32"/>
          <w:szCs w:val="32"/>
        </w:rPr>
        <w:t>červ</w:t>
      </w:r>
      <w:r w:rsidR="00D50357"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 w:rsidR="00D50357">
        <w:rPr>
          <w:rFonts w:ascii="Arial" w:eastAsia="Arial" w:hAnsi="Arial" w:cs="Arial"/>
          <w:b/>
          <w:bCs/>
          <w:sz w:val="32"/>
          <w:szCs w:val="32"/>
        </w:rPr>
        <w:t>ce</w:t>
      </w:r>
      <w:r w:rsidRPr="0082122D">
        <w:rPr>
          <w:rFonts w:ascii="Arial" w:eastAsia="Calibri" w:hAnsi="Arial" w:cs="Arial"/>
          <w:b/>
          <w:sz w:val="32"/>
          <w:szCs w:val="32"/>
        </w:rPr>
        <w:t xml:space="preserve"> 2016</w:t>
      </w:r>
    </w:p>
    <w:p w:rsidR="009832BC" w:rsidRDefault="009832BC">
      <w:pPr>
        <w:rPr>
          <w:rFonts w:ascii="Arial" w:eastAsia="Arial" w:hAnsi="Arial" w:cs="Arial"/>
          <w:b/>
          <w:bCs/>
          <w:sz w:val="32"/>
          <w:szCs w:val="32"/>
        </w:rPr>
      </w:pPr>
    </w:p>
    <w:p w:rsidR="009832BC" w:rsidRDefault="009832BC">
      <w:pPr>
        <w:rPr>
          <w:rFonts w:ascii="Arial" w:eastAsia="Arial" w:hAnsi="Arial" w:cs="Arial"/>
          <w:b/>
          <w:bCs/>
          <w:sz w:val="32"/>
          <w:szCs w:val="32"/>
        </w:rPr>
        <w:sectPr w:rsidR="009832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id w:val="111015586"/>
        <w:docPartObj>
          <w:docPartGallery w:val="Table of Contents"/>
          <w:docPartUnique/>
        </w:docPartObj>
      </w:sdtPr>
      <w:sdtEndPr/>
      <w:sdtContent>
        <w:p w:rsidR="00F424DB" w:rsidRPr="00F424DB" w:rsidRDefault="00F424DB" w:rsidP="00F424DB">
          <w:pPr>
            <w:pStyle w:val="Nadpisobsahu"/>
            <w:numPr>
              <w:ilvl w:val="0"/>
              <w:numId w:val="0"/>
            </w:numPr>
            <w:ind w:left="432" w:hanging="432"/>
          </w:pPr>
          <w:r w:rsidRPr="00F424DB">
            <w:t>Obsah</w:t>
          </w:r>
        </w:p>
        <w:p w:rsidR="00FA38C3" w:rsidRDefault="00F424DB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5133811" w:history="1">
            <w:r w:rsidR="00FA38C3" w:rsidRPr="008D5498">
              <w:rPr>
                <w:rStyle w:val="Hypertextovodkaz"/>
                <w:noProof/>
              </w:rPr>
              <w:t>1</w:t>
            </w:r>
            <w:r w:rsidR="00FA38C3">
              <w:rPr>
                <w:rFonts w:eastAsiaTheme="minorEastAsia"/>
                <w:noProof/>
                <w:lang w:eastAsia="cs-CZ"/>
              </w:rPr>
              <w:tab/>
            </w:r>
            <w:r w:rsidR="00FA38C3" w:rsidRPr="008D5498">
              <w:rPr>
                <w:rStyle w:val="Hypertextovodkaz"/>
                <w:noProof/>
              </w:rPr>
              <w:t>Úvod</w:t>
            </w:r>
            <w:r w:rsidR="00FA38C3">
              <w:rPr>
                <w:noProof/>
                <w:webHidden/>
              </w:rPr>
              <w:tab/>
            </w:r>
            <w:r w:rsidR="00FA38C3">
              <w:rPr>
                <w:noProof/>
                <w:webHidden/>
              </w:rPr>
              <w:fldChar w:fldCharType="begin"/>
            </w:r>
            <w:r w:rsidR="00FA38C3">
              <w:rPr>
                <w:noProof/>
                <w:webHidden/>
              </w:rPr>
              <w:instrText xml:space="preserve"> PAGEREF _Toc455133811 \h </w:instrText>
            </w:r>
            <w:r w:rsidR="00FA38C3">
              <w:rPr>
                <w:noProof/>
                <w:webHidden/>
              </w:rPr>
            </w:r>
            <w:r w:rsidR="00FA38C3">
              <w:rPr>
                <w:noProof/>
                <w:webHidden/>
              </w:rPr>
              <w:fldChar w:fldCharType="separate"/>
            </w:r>
            <w:r w:rsidR="00FA38C3">
              <w:rPr>
                <w:noProof/>
                <w:webHidden/>
              </w:rPr>
              <w:t>2</w:t>
            </w:r>
            <w:r w:rsidR="00FA38C3">
              <w:rPr>
                <w:noProof/>
                <w:webHidden/>
              </w:rPr>
              <w:fldChar w:fldCharType="end"/>
            </w:r>
          </w:hyperlink>
        </w:p>
        <w:p w:rsidR="00FA38C3" w:rsidRDefault="00FA38C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55133812" w:history="1">
            <w:r w:rsidRPr="008D5498">
              <w:rPr>
                <w:rStyle w:val="Hypertextovodkaz"/>
                <w:noProof/>
              </w:rPr>
              <w:t>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5498">
              <w:rPr>
                <w:rStyle w:val="Hypertextovodkaz"/>
                <w:noProof/>
              </w:rPr>
              <w:t>Informace o posuzování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_Toc455133812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38C3" w:rsidRDefault="00FA38C3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55133813" w:history="1">
            <w:r w:rsidRPr="008D5498">
              <w:rPr>
                <w:rStyle w:val="Hypertextovodkaz"/>
                <w:noProof/>
              </w:rPr>
              <w:t>Příloha 1 – Seznam posuzovaných projektů, stav k 30. 6. 2016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_Toc455133813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24DB" w:rsidRDefault="00F424DB">
          <w:r>
            <w:rPr>
              <w:b/>
              <w:bCs/>
            </w:rPr>
            <w:fldChar w:fldCharType="end"/>
          </w:r>
        </w:p>
      </w:sdtContent>
    </w:sdt>
    <w:p w:rsidR="00F424DB" w:rsidRDefault="00F424DB">
      <w:r>
        <w:br w:type="page"/>
      </w:r>
    </w:p>
    <w:p w:rsidR="0082122D" w:rsidRDefault="00F424DB" w:rsidP="00F424DB">
      <w:pPr>
        <w:pStyle w:val="Nadpis1"/>
      </w:pPr>
      <w:bookmarkStart w:id="1" w:name="_Toc455133811"/>
      <w:r>
        <w:lastRenderedPageBreak/>
        <w:t>Úvod</w:t>
      </w:r>
      <w:bookmarkEnd w:id="1"/>
    </w:p>
    <w:p w:rsidR="00F424DB" w:rsidRDefault="00F424DB" w:rsidP="004546E5">
      <w:pPr>
        <w:spacing w:after="0"/>
      </w:pPr>
      <w:r>
        <w:t>Na základě usnesení vlády č. 889 ze dne 2. 11. 2015, článek II. odst. 1 písm. c), předkládá Odbor Hlavního architekta eGovernmentu Ministerstva vnitra (dále jen OHA) zprávu o posuzování projektů. Tato zpráva pokrývá posuzování projektů přijatých v období 1. pololetí roku 2016, tedy ode dne účinnosti výše uvedeného usnesení vlády. Ze strany OHA jsou posuzovány dva druhy projektů:</w:t>
      </w:r>
    </w:p>
    <w:p w:rsidR="00F424DB" w:rsidRDefault="00F424DB" w:rsidP="00F424DB">
      <w:pPr>
        <w:pStyle w:val="Odstavecseseznamem"/>
        <w:numPr>
          <w:ilvl w:val="0"/>
          <w:numId w:val="2"/>
        </w:numPr>
      </w:pPr>
      <w:r>
        <w:t>Záměry realizovat nákup služeb či investic souvisejících s informačními a komunikačními technologiemi s předpokládanou hodnotou více než 6 milionů Kč ročně, resp. 30 milionů Kč vynaložených za 5 let (bez DPH) na základě přílohy č. 2 usnesení vlády č. 889 ze dne 2. 11. 2015.</w:t>
      </w:r>
      <w:r w:rsidR="00B349F2">
        <w:t xml:space="preserve"> Vztahuje se jen na orgány státní správy.</w:t>
      </w:r>
    </w:p>
    <w:p w:rsidR="00F424DB" w:rsidRDefault="00B54F48" w:rsidP="00F424DB">
      <w:pPr>
        <w:pStyle w:val="Odstavecseseznamem"/>
        <w:numPr>
          <w:ilvl w:val="0"/>
          <w:numId w:val="2"/>
        </w:numPr>
      </w:pPr>
      <w:r>
        <w:t>Žádosti o financování z Integrovaného regionálního operačního programu (dále jen IROP) vybraných výzev souvisejících s eGovernment</w:t>
      </w:r>
      <w:r w:rsidR="006663C4">
        <w:t>em</w:t>
      </w:r>
      <w:r>
        <w:t>, jejichž specifická pravidla stanoví povinnost požádat o stanovisko OHA. Mezi doposud vyhlášené výzvy vyžadující posouzení OHA patří:</w:t>
      </w:r>
    </w:p>
    <w:p w:rsidR="000A615A" w:rsidRDefault="000A615A" w:rsidP="000A615A">
      <w:pPr>
        <w:pStyle w:val="Odstavecseseznamem"/>
        <w:numPr>
          <w:ilvl w:val="1"/>
          <w:numId w:val="2"/>
        </w:numPr>
      </w:pPr>
      <w:r>
        <w:t xml:space="preserve">Výzva </w:t>
      </w:r>
      <w:r w:rsidR="006663C4">
        <w:t xml:space="preserve">č. </w:t>
      </w:r>
      <w:r>
        <w:t>4 – Aktivity vedoucí k úplnému elektronickému podání</w:t>
      </w:r>
    </w:p>
    <w:p w:rsidR="000A615A" w:rsidRDefault="000A615A" w:rsidP="000A615A">
      <w:pPr>
        <w:pStyle w:val="Odstavecseseznamem"/>
        <w:numPr>
          <w:ilvl w:val="1"/>
          <w:numId w:val="2"/>
        </w:numPr>
      </w:pPr>
      <w:r>
        <w:t xml:space="preserve">Výzva </w:t>
      </w:r>
      <w:r w:rsidR="006663C4">
        <w:t xml:space="preserve">č. </w:t>
      </w:r>
      <w:r>
        <w:t>10 – Kybernetická bezpečnost</w:t>
      </w:r>
    </w:p>
    <w:p w:rsidR="006663C4" w:rsidRPr="006663C4" w:rsidRDefault="006663C4" w:rsidP="006663C4">
      <w:pPr>
        <w:pStyle w:val="Odstavecseseznamem"/>
        <w:numPr>
          <w:ilvl w:val="1"/>
          <w:numId w:val="2"/>
        </w:numPr>
      </w:pPr>
      <w:r w:rsidRPr="006663C4">
        <w:t xml:space="preserve">Výzva č. 17 </w:t>
      </w:r>
      <w:r>
        <w:t xml:space="preserve">– </w:t>
      </w:r>
      <w:r w:rsidRPr="006663C4">
        <w:t>e-Legislativa a e-Sbírka, Národní digitální archiv</w:t>
      </w:r>
    </w:p>
    <w:p w:rsidR="000A615A" w:rsidRDefault="000A615A" w:rsidP="00B54F48">
      <w:pPr>
        <w:pStyle w:val="Odstavecseseznamem"/>
        <w:numPr>
          <w:ilvl w:val="1"/>
          <w:numId w:val="2"/>
        </w:numPr>
      </w:pPr>
      <w:r>
        <w:t xml:space="preserve">Výzva </w:t>
      </w:r>
      <w:r w:rsidR="006663C4">
        <w:t xml:space="preserve">č. </w:t>
      </w:r>
      <w:r>
        <w:t xml:space="preserve">23 – </w:t>
      </w:r>
      <w:r w:rsidR="007E62A8">
        <w:t>S</w:t>
      </w:r>
      <w:r>
        <w:t xml:space="preserve">pecifické </w:t>
      </w:r>
      <w:r w:rsidR="007E62A8">
        <w:t xml:space="preserve">informační a </w:t>
      </w:r>
      <w:r>
        <w:t>komunikační systémy a infrastruktura</w:t>
      </w:r>
      <w:r w:rsidR="007E62A8">
        <w:t xml:space="preserve"> I.</w:t>
      </w:r>
    </w:p>
    <w:p w:rsidR="006663C4" w:rsidRPr="006663C4" w:rsidRDefault="006663C4" w:rsidP="006663C4">
      <w:pPr>
        <w:pStyle w:val="Odstavecseseznamem"/>
        <w:numPr>
          <w:ilvl w:val="1"/>
          <w:numId w:val="2"/>
        </w:numPr>
      </w:pPr>
      <w:r w:rsidRPr="006663C4">
        <w:t>Výzva č. 26</w:t>
      </w:r>
      <w:r>
        <w:t xml:space="preserve"> –</w:t>
      </w:r>
      <w:r w:rsidRPr="006663C4">
        <w:t xml:space="preserve"> eGovernment I</w:t>
      </w:r>
    </w:p>
    <w:p w:rsidR="00EE563B" w:rsidRDefault="00EE563B" w:rsidP="00EE563B">
      <w:pPr>
        <w:pStyle w:val="Odstavecseseznamem"/>
        <w:numPr>
          <w:ilvl w:val="1"/>
          <w:numId w:val="2"/>
        </w:numPr>
      </w:pPr>
      <w:r w:rsidRPr="00EE563B">
        <w:t xml:space="preserve">Výzva </w:t>
      </w:r>
      <w:r w:rsidR="006663C4">
        <w:t xml:space="preserve">č. </w:t>
      </w:r>
      <w:r w:rsidRPr="00EE563B">
        <w:t>28</w:t>
      </w:r>
      <w:r>
        <w:t xml:space="preserve"> – S</w:t>
      </w:r>
      <w:r w:rsidRPr="00EE563B">
        <w:t xml:space="preserve">pecifické informační a komunikační systémy a infrastruktura </w:t>
      </w:r>
      <w:r>
        <w:t>II</w:t>
      </w:r>
      <w:r w:rsidRPr="00EE563B">
        <w:t>.</w:t>
      </w:r>
    </w:p>
    <w:p w:rsidR="00B54F48" w:rsidRDefault="000A615A" w:rsidP="004546E5">
      <w:pPr>
        <w:spacing w:after="0"/>
      </w:pPr>
      <w:r>
        <w:t xml:space="preserve">Pro žádosti o stanovisko OHA na základě usnesení vlády č. 889 ze dne 2. 11. 2015 jsou předepsány tři druhy formulářů schválených </w:t>
      </w:r>
      <w:r w:rsidR="006663C4">
        <w:t xml:space="preserve">předsednictvem </w:t>
      </w:r>
      <w:r>
        <w:t>Rad</w:t>
      </w:r>
      <w:r w:rsidR="006663C4">
        <w:t>y</w:t>
      </w:r>
      <w:r>
        <w:t xml:space="preserve"> </w:t>
      </w:r>
      <w:r w:rsidR="006663C4">
        <w:t>vlády pro informační společnost</w:t>
      </w:r>
      <w:r>
        <w:t>. Těmito formuláři jsou:</w:t>
      </w:r>
    </w:p>
    <w:p w:rsidR="000A615A" w:rsidRDefault="000A615A" w:rsidP="000A615A">
      <w:pPr>
        <w:pStyle w:val="Odstavecseseznamem"/>
        <w:numPr>
          <w:ilvl w:val="0"/>
          <w:numId w:val="3"/>
        </w:numPr>
      </w:pPr>
      <w:r>
        <w:t xml:space="preserve">Formulář typu A </w:t>
      </w:r>
      <w:r w:rsidR="006663C4">
        <w:t>–</w:t>
      </w:r>
      <w:r>
        <w:t xml:space="preserve"> </w:t>
      </w:r>
      <w:r w:rsidRPr="000A615A">
        <w:t>Plný</w:t>
      </w:r>
      <w:r w:rsidR="006663C4">
        <w:t xml:space="preserve">, univerzální, </w:t>
      </w:r>
      <w:r w:rsidRPr="000A615A">
        <w:t>formulář bez zjednodušení, který slouží pro nákup nových informačních systémů či jejich údržbu/rozvoj, respektive pro vybudování IT podpory nějaké nové nebo významně pozměněné agendy, její části nebo veřejné služby úřadu.</w:t>
      </w:r>
    </w:p>
    <w:p w:rsidR="000A615A" w:rsidRDefault="000A615A" w:rsidP="000A615A">
      <w:pPr>
        <w:pStyle w:val="Odstavecseseznamem"/>
        <w:numPr>
          <w:ilvl w:val="0"/>
          <w:numId w:val="3"/>
        </w:numPr>
      </w:pPr>
      <w:r>
        <w:t>Formuláře typu B, které mají tři druhy:</w:t>
      </w:r>
    </w:p>
    <w:p w:rsidR="000A615A" w:rsidRDefault="000A615A" w:rsidP="000A615A">
      <w:pPr>
        <w:pStyle w:val="Odstavecseseznamem"/>
        <w:numPr>
          <w:ilvl w:val="1"/>
          <w:numId w:val="3"/>
        </w:numPr>
      </w:pPr>
      <w:r>
        <w:t xml:space="preserve">Formulář B1 </w:t>
      </w:r>
      <w:r w:rsidR="006663C4">
        <w:t>–</w:t>
      </w:r>
      <w:r>
        <w:t xml:space="preserve"> </w:t>
      </w:r>
      <w:r w:rsidRPr="000A615A">
        <w:t>Žádost o stanovisko OHA k rámcovému záměru</w:t>
      </w:r>
      <w:r w:rsidR="006663C4">
        <w:t xml:space="preserve"> (registrace rámcové smlouvy)</w:t>
      </w:r>
      <w:r>
        <w:t>.</w:t>
      </w:r>
    </w:p>
    <w:p w:rsidR="000A615A" w:rsidRDefault="006663C4" w:rsidP="000A615A">
      <w:pPr>
        <w:pStyle w:val="Odstavecseseznamem"/>
        <w:numPr>
          <w:ilvl w:val="1"/>
          <w:numId w:val="3"/>
        </w:numPr>
      </w:pPr>
      <w:r>
        <w:t>Formulář B2 –</w:t>
      </w:r>
      <w:r w:rsidR="000A615A">
        <w:t xml:space="preserve"> </w:t>
      </w:r>
      <w:r w:rsidR="000A615A" w:rsidRPr="000A615A">
        <w:t>Žádost o stanovisko OHA ke každé dílčí změně řešení</w:t>
      </w:r>
      <w:r w:rsidR="000A615A">
        <w:t>.</w:t>
      </w:r>
    </w:p>
    <w:p w:rsidR="000A615A" w:rsidRDefault="006663C4" w:rsidP="000A615A">
      <w:pPr>
        <w:pStyle w:val="Odstavecseseznamem"/>
        <w:numPr>
          <w:ilvl w:val="1"/>
          <w:numId w:val="3"/>
        </w:numPr>
      </w:pPr>
      <w:r>
        <w:t>Formulář B3 –</w:t>
      </w:r>
      <w:r w:rsidR="000A615A">
        <w:t xml:space="preserve"> </w:t>
      </w:r>
      <w:r w:rsidR="000A615A" w:rsidRPr="000A615A">
        <w:t>Žádost o stanovisko OHA k plánované cílové architektuře</w:t>
      </w:r>
      <w:r w:rsidR="000A615A">
        <w:t>.</w:t>
      </w:r>
    </w:p>
    <w:p w:rsidR="000A615A" w:rsidRDefault="006663C4" w:rsidP="000A615A">
      <w:pPr>
        <w:pStyle w:val="Odstavecseseznamem"/>
        <w:numPr>
          <w:ilvl w:val="0"/>
          <w:numId w:val="3"/>
        </w:numPr>
      </w:pPr>
      <w:r>
        <w:t>Formulář typu C –</w:t>
      </w:r>
      <w:r w:rsidR="000A615A">
        <w:t xml:space="preserve"> </w:t>
      </w:r>
      <w:r w:rsidR="000A615A" w:rsidRPr="000A615A">
        <w:t>Tento zjednodušený vzor žádosti byl připraven pro použití v případech záměru pořídit typizovaný komoditní ICT produkt (HW, SW nebo službu).</w:t>
      </w:r>
    </w:p>
    <w:p w:rsidR="000A615A" w:rsidRDefault="001C33A7" w:rsidP="000A615A">
      <w:r>
        <w:t>Podáním žádosti o stanovisko OHA prostřednictvím formuláře typu B1 se žadatel zavazuje podat žádost formulářem typu B2 pro každou architektonickou změnu a žádost formulářem B3 nejpozději do dvou let s celkovou architekturou řešení.</w:t>
      </w:r>
    </w:p>
    <w:p w:rsidR="00B349F2" w:rsidRDefault="00B349F2" w:rsidP="000A615A">
      <w:r>
        <w:t>V případě, že projekt splňuje podmínky projektu druhu a) i b), může žadatel podat sloučenou žádost o obě stanoviska jedním podáním.</w:t>
      </w:r>
    </w:p>
    <w:p w:rsidR="0043352D" w:rsidRDefault="0043352D" w:rsidP="004546E5">
      <w:pPr>
        <w:spacing w:after="0"/>
      </w:pPr>
      <w:r>
        <w:t>Na základě</w:t>
      </w:r>
      <w:r w:rsidR="00D50357">
        <w:t xml:space="preserve"> </w:t>
      </w:r>
      <w:r w:rsidR="00D50357" w:rsidRPr="00D50357">
        <w:t>na základě usnesení vlády č. 343/D ze dne 6. 5. 20</w:t>
      </w:r>
      <w:r w:rsidR="00D50357">
        <w:t>15 a pracovní dohody ze dne 11. </w:t>
      </w:r>
      <w:r w:rsidR="00D50357" w:rsidRPr="00D50357">
        <w:t>12.</w:t>
      </w:r>
      <w:r w:rsidR="00D50357">
        <w:t> </w:t>
      </w:r>
      <w:r w:rsidR="00D50357" w:rsidRPr="00D50357">
        <w:t>2015 mezi OHA a bezpečnostními sbory</w:t>
      </w:r>
      <w:r>
        <w:t xml:space="preserve"> jsou všechny žádosti o stanovis</w:t>
      </w:r>
      <w:r w:rsidR="006663C4">
        <w:t xml:space="preserve">ko OHA typu A </w:t>
      </w:r>
      <w:proofErr w:type="spellStart"/>
      <w:r w:rsidR="006663C4">
        <w:t>a</w:t>
      </w:r>
      <w:proofErr w:type="spellEnd"/>
      <w:r w:rsidR="006663C4">
        <w:t xml:space="preserve"> B</w:t>
      </w:r>
      <w:r>
        <w:t xml:space="preserve"> předávány </w:t>
      </w:r>
      <w:r w:rsidR="004546E5">
        <w:t>šesti orgánům z oblasti bezpečnosti, které májí možnost vznášet vlastní připomínky k projektům. Těmito bezpečnostními orgány jsou:</w:t>
      </w:r>
    </w:p>
    <w:p w:rsidR="004546E5" w:rsidRDefault="004546E5" w:rsidP="004546E5">
      <w:pPr>
        <w:pStyle w:val="Odstavecseseznamem"/>
        <w:numPr>
          <w:ilvl w:val="0"/>
          <w:numId w:val="4"/>
        </w:numPr>
      </w:pPr>
      <w:r>
        <w:t xml:space="preserve">Bezpečnostní odbor Ministerstva vnitra, </w:t>
      </w:r>
    </w:p>
    <w:p w:rsidR="004546E5" w:rsidRDefault="004546E5" w:rsidP="004546E5">
      <w:pPr>
        <w:pStyle w:val="Odstavecseseznamem"/>
        <w:numPr>
          <w:ilvl w:val="0"/>
          <w:numId w:val="4"/>
        </w:numPr>
      </w:pPr>
      <w:r>
        <w:t>Bezpečnostní informační služba,</w:t>
      </w:r>
    </w:p>
    <w:p w:rsidR="004546E5" w:rsidRDefault="004546E5" w:rsidP="004546E5">
      <w:pPr>
        <w:pStyle w:val="Odstavecseseznamem"/>
        <w:numPr>
          <w:ilvl w:val="0"/>
          <w:numId w:val="4"/>
        </w:numPr>
      </w:pPr>
      <w:r>
        <w:lastRenderedPageBreak/>
        <w:t>Ministerstvo obrany,</w:t>
      </w:r>
    </w:p>
    <w:p w:rsidR="004546E5" w:rsidRDefault="004546E5" w:rsidP="004546E5">
      <w:pPr>
        <w:pStyle w:val="Odstavecseseznamem"/>
        <w:numPr>
          <w:ilvl w:val="0"/>
          <w:numId w:val="4"/>
        </w:numPr>
      </w:pPr>
      <w:r>
        <w:t>Generální inspekce bezpečnostních sborů,</w:t>
      </w:r>
    </w:p>
    <w:p w:rsidR="004546E5" w:rsidRDefault="004546E5" w:rsidP="004546E5">
      <w:pPr>
        <w:pStyle w:val="Odstavecseseznamem"/>
        <w:numPr>
          <w:ilvl w:val="0"/>
          <w:numId w:val="4"/>
        </w:numPr>
      </w:pPr>
      <w:r w:rsidRPr="004546E5">
        <w:t>Úřad pro zahraniční styky a informace</w:t>
      </w:r>
      <w:r>
        <w:t xml:space="preserve"> a</w:t>
      </w:r>
    </w:p>
    <w:p w:rsidR="004546E5" w:rsidRDefault="004546E5" w:rsidP="004546E5">
      <w:pPr>
        <w:pStyle w:val="Odstavecseseznamem"/>
        <w:numPr>
          <w:ilvl w:val="0"/>
          <w:numId w:val="4"/>
        </w:numPr>
        <w:spacing w:after="0"/>
        <w:ind w:left="714" w:hanging="357"/>
      </w:pPr>
      <w:r w:rsidRPr="004546E5">
        <w:t>Útvar speciálních činností služby kriminální policie a vyšetřování</w:t>
      </w:r>
      <w:r>
        <w:t>.</w:t>
      </w:r>
    </w:p>
    <w:p w:rsidR="001C33A7" w:rsidRDefault="004546E5" w:rsidP="004546E5">
      <w:r>
        <w:t>Bezpečnostní orgány své vyjádření k projektu zasílají OHA v termínu do 20 kalendářních dní.</w:t>
      </w:r>
    </w:p>
    <w:p w:rsidR="001C33A7" w:rsidRDefault="001C33A7" w:rsidP="001C33A7">
      <w:pPr>
        <w:pStyle w:val="Nadpis1"/>
      </w:pPr>
      <w:bookmarkStart w:id="2" w:name="_Toc455133812"/>
      <w:r>
        <w:t>Informace o posuzování</w:t>
      </w:r>
      <w:bookmarkEnd w:id="2"/>
    </w:p>
    <w:p w:rsidR="001C33A7" w:rsidRPr="00D50357" w:rsidRDefault="0015180F" w:rsidP="000A615A">
      <w:r w:rsidRPr="00D50357">
        <w:t>V průběhu 1. pololetí roku 2016 bylo přijato k posouzení 4</w:t>
      </w:r>
      <w:r w:rsidR="00DE6641" w:rsidRPr="00D50357">
        <w:t>7</w:t>
      </w:r>
      <w:r w:rsidRPr="00D50357">
        <w:t xml:space="preserve"> žádostí o stanovisko OHA. Dvě z těchto žádostí představují typy formulářů B2 a B3, které jsou realizací rámcové smlouvy schválené předchozí žádostí. Celkový počet je tedy 4</w:t>
      </w:r>
      <w:r w:rsidR="00DE6641" w:rsidRPr="00D50357">
        <w:t>7</w:t>
      </w:r>
      <w:r w:rsidRPr="00D50357">
        <w:t xml:space="preserve"> </w:t>
      </w:r>
      <w:r w:rsidR="00B349F2" w:rsidRPr="00D50357">
        <w:t>posuzovaných projektů. Souhrnná</w:t>
      </w:r>
      <w:r w:rsidRPr="00D50357">
        <w:t xml:space="preserve"> hodnota těchto </w:t>
      </w:r>
      <w:r w:rsidR="00B349F2" w:rsidRPr="00D50357">
        <w:t>4</w:t>
      </w:r>
      <w:r w:rsidR="00DE6641" w:rsidRPr="00D50357">
        <w:t>7</w:t>
      </w:r>
      <w:r w:rsidR="00B349F2" w:rsidRPr="00D50357">
        <w:t xml:space="preserve"> projektů je přes 1</w:t>
      </w:r>
      <w:r w:rsidR="00F24FD2" w:rsidRPr="00D50357">
        <w:t>1</w:t>
      </w:r>
      <w:r w:rsidR="00B349F2" w:rsidRPr="00D50357">
        <w:t>,</w:t>
      </w:r>
      <w:r w:rsidR="00F24FD2" w:rsidRPr="00D50357">
        <w:t>6</w:t>
      </w:r>
      <w:r w:rsidR="00B349F2" w:rsidRPr="00D50357">
        <w:t xml:space="preserve"> miliardy Kč bez DPH. Tato částka je však výrazně vychýlena projektem Systému elektronického mýta ve výši 6,6 miliardy na dobu 3 let. Projekt elektronického mýta totiž ve svém objemu zahrnuje výraznou část výdajů nesouvisejících s informačními a komunikačními technologiemi. Pomineme-li tedy i tento vybočující projekt, tak je průměrná hodnota projektu posuzovaného OHA ve výši </w:t>
      </w:r>
      <w:r w:rsidR="003412F1" w:rsidRPr="00D50357">
        <w:t>110 440 2</w:t>
      </w:r>
      <w:r w:rsidR="00B349F2" w:rsidRPr="00D50357">
        <w:t xml:space="preserve">12 Kč, medián (střední hodnota) je pak </w:t>
      </w:r>
      <w:r w:rsidR="003412F1" w:rsidRPr="00D50357">
        <w:t>62 880 000</w:t>
      </w:r>
      <w:r w:rsidR="00B349F2" w:rsidRPr="00D50357">
        <w:t xml:space="preserve"> Kč.</w:t>
      </w:r>
    </w:p>
    <w:p w:rsidR="00B349F2" w:rsidRDefault="00B349F2" w:rsidP="000A615A">
      <w:r w:rsidRPr="00D50357">
        <w:t xml:space="preserve">Počet </w:t>
      </w:r>
      <w:r w:rsidR="005F3E4A" w:rsidRPr="00D50357">
        <w:t>žádostí o stanovisko dle jednotlivých druhů a typů zachycuje následující tabulka.</w:t>
      </w:r>
    </w:p>
    <w:tbl>
      <w:tblPr>
        <w:tblStyle w:val="Svtlmkazvraznn1"/>
        <w:tblW w:w="5580" w:type="dxa"/>
        <w:jc w:val="center"/>
        <w:tblLook w:val="0420" w:firstRow="1" w:lastRow="0" w:firstColumn="0" w:lastColumn="0" w:noHBand="0" w:noVBand="1"/>
      </w:tblPr>
      <w:tblGrid>
        <w:gridCol w:w="1940"/>
        <w:gridCol w:w="1820"/>
        <w:gridCol w:w="1820"/>
      </w:tblGrid>
      <w:tr w:rsidR="005F3E4A" w:rsidRPr="005F3E4A" w:rsidTr="005F3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tcW w:w="1940" w:type="dxa"/>
            <w:noWrap/>
            <w:hideMark/>
          </w:tcPr>
          <w:p w:rsidR="005F3E4A" w:rsidRPr="005F3E4A" w:rsidRDefault="005F3E4A" w:rsidP="005F3E4A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Popisky řádků</w:t>
            </w:r>
          </w:p>
        </w:tc>
        <w:tc>
          <w:tcPr>
            <w:tcW w:w="1820" w:type="dxa"/>
            <w:noWrap/>
            <w:hideMark/>
          </w:tcPr>
          <w:p w:rsidR="005F3E4A" w:rsidRPr="005F3E4A" w:rsidRDefault="005F3E4A" w:rsidP="0043352D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Počet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žádostí</w:t>
            </w:r>
          </w:p>
        </w:tc>
        <w:tc>
          <w:tcPr>
            <w:tcW w:w="1820" w:type="dxa"/>
          </w:tcPr>
          <w:p w:rsidR="005F3E4A" w:rsidRPr="005F3E4A" w:rsidRDefault="005F3E4A" w:rsidP="005F3E4A">
            <w:pPr>
              <w:jc w:val="left"/>
              <w:rPr>
                <w:rFonts w:ascii="Calibri" w:eastAsia="Times New Roman" w:hAnsi="Calibri" w:cs="Times New Roman"/>
                <w:bCs w:val="0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bCs w:val="0"/>
                <w:color w:val="000000"/>
                <w:lang w:eastAsia="cs-CZ"/>
              </w:rPr>
              <w:t>Objem projektů (v Kč bez DPH)</w:t>
            </w:r>
          </w:p>
        </w:tc>
      </w:tr>
      <w:tr w:rsidR="005F3E4A" w:rsidRPr="005F3E4A" w:rsidTr="005F3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1940" w:type="dxa"/>
            <w:noWrap/>
            <w:hideMark/>
          </w:tcPr>
          <w:p w:rsidR="005F3E4A" w:rsidRPr="005F3E4A" w:rsidRDefault="005F3E4A" w:rsidP="005F3E4A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IROP</w:t>
            </w:r>
          </w:p>
        </w:tc>
        <w:tc>
          <w:tcPr>
            <w:tcW w:w="1820" w:type="dxa"/>
            <w:noWrap/>
            <w:hideMark/>
          </w:tcPr>
          <w:p w:rsidR="005F3E4A" w:rsidRPr="005F3E4A" w:rsidRDefault="005F3E4A" w:rsidP="0043352D">
            <w:pPr>
              <w:ind w:right="578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820" w:type="dxa"/>
          </w:tcPr>
          <w:p w:rsidR="005F3E4A" w:rsidRPr="005F3E4A" w:rsidRDefault="005F3E4A" w:rsidP="003412F1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420</w:t>
            </w:r>
            <w:r w:rsidR="003412F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968</w:t>
            </w:r>
            <w:r w:rsidR="003412F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113</w:t>
            </w:r>
          </w:p>
        </w:tc>
      </w:tr>
      <w:tr w:rsidR="005F3E4A" w:rsidRPr="005F3E4A" w:rsidTr="005F3E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1940" w:type="dxa"/>
            <w:noWrap/>
            <w:hideMark/>
          </w:tcPr>
          <w:p w:rsidR="005F3E4A" w:rsidRPr="005F3E4A" w:rsidRDefault="005F3E4A" w:rsidP="005F3E4A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IROP+UV č.</w:t>
            </w:r>
            <w:r w:rsidR="002C5B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889</w:t>
            </w:r>
          </w:p>
        </w:tc>
        <w:tc>
          <w:tcPr>
            <w:tcW w:w="1820" w:type="dxa"/>
            <w:noWrap/>
            <w:hideMark/>
          </w:tcPr>
          <w:p w:rsidR="005F3E4A" w:rsidRPr="005F3E4A" w:rsidRDefault="005F3E4A" w:rsidP="0043352D">
            <w:pPr>
              <w:ind w:right="578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820" w:type="dxa"/>
          </w:tcPr>
          <w:p w:rsidR="005F3E4A" w:rsidRPr="005F3E4A" w:rsidRDefault="003412F1" w:rsidP="005F3E4A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42 946 </w:t>
            </w:r>
            <w:r w:rsid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784</w:t>
            </w:r>
          </w:p>
        </w:tc>
      </w:tr>
      <w:tr w:rsidR="005F3E4A" w:rsidRPr="005F3E4A" w:rsidTr="005F3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1940" w:type="dxa"/>
            <w:noWrap/>
            <w:hideMark/>
          </w:tcPr>
          <w:p w:rsidR="005F3E4A" w:rsidRPr="005F3E4A" w:rsidRDefault="005F3E4A" w:rsidP="005F3E4A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UV č.</w:t>
            </w:r>
            <w:r w:rsidR="002C5B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889 A</w:t>
            </w:r>
          </w:p>
        </w:tc>
        <w:tc>
          <w:tcPr>
            <w:tcW w:w="1820" w:type="dxa"/>
            <w:noWrap/>
            <w:hideMark/>
          </w:tcPr>
          <w:p w:rsidR="005F3E4A" w:rsidRPr="005F3E4A" w:rsidRDefault="005F3E4A" w:rsidP="00DE6641">
            <w:pPr>
              <w:ind w:right="578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5D14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DE6641" w:rsidRPr="00705D14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820" w:type="dxa"/>
          </w:tcPr>
          <w:p w:rsidR="005F3E4A" w:rsidRPr="005F3E4A" w:rsidRDefault="003412F1" w:rsidP="00705D14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1 </w:t>
            </w:r>
            <w:r w:rsidR="00705D14">
              <w:rPr>
                <w:rFonts w:ascii="Calibri" w:eastAsia="Times New Roman" w:hAnsi="Calibri" w:cs="Times New Roman"/>
                <w:color w:val="000000"/>
                <w:lang w:eastAsia="cs-CZ"/>
              </w:rPr>
              <w:t>313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705D14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91 </w:t>
            </w:r>
            <w:r w:rsid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700</w:t>
            </w:r>
          </w:p>
        </w:tc>
      </w:tr>
      <w:tr w:rsidR="005F3E4A" w:rsidRPr="005F3E4A" w:rsidTr="005F3E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1940" w:type="dxa"/>
            <w:noWrap/>
            <w:hideMark/>
          </w:tcPr>
          <w:p w:rsidR="005F3E4A" w:rsidRPr="005F3E4A" w:rsidRDefault="005F3E4A" w:rsidP="005F3E4A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UV č.</w:t>
            </w:r>
            <w:r w:rsidR="002C5B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889 B1</w:t>
            </w:r>
          </w:p>
        </w:tc>
        <w:tc>
          <w:tcPr>
            <w:tcW w:w="1820" w:type="dxa"/>
            <w:noWrap/>
            <w:hideMark/>
          </w:tcPr>
          <w:p w:rsidR="005F3E4A" w:rsidRPr="005F3E4A" w:rsidRDefault="005F3E4A" w:rsidP="0043352D">
            <w:pPr>
              <w:ind w:right="578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820" w:type="dxa"/>
          </w:tcPr>
          <w:p w:rsidR="005F3E4A" w:rsidRPr="005F3E4A" w:rsidRDefault="003412F1" w:rsidP="005F3E4A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8 574 713 </w:t>
            </w:r>
            <w:r w:rsid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009</w:t>
            </w:r>
          </w:p>
        </w:tc>
      </w:tr>
      <w:tr w:rsidR="005F3E4A" w:rsidRPr="005F3E4A" w:rsidTr="005F3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1940" w:type="dxa"/>
            <w:noWrap/>
            <w:hideMark/>
          </w:tcPr>
          <w:p w:rsidR="005F3E4A" w:rsidRPr="005F3E4A" w:rsidRDefault="005F3E4A" w:rsidP="005F3E4A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UV č.</w:t>
            </w:r>
            <w:r w:rsidR="002C5B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889 B2</w:t>
            </w:r>
          </w:p>
        </w:tc>
        <w:tc>
          <w:tcPr>
            <w:tcW w:w="1820" w:type="dxa"/>
            <w:noWrap/>
            <w:hideMark/>
          </w:tcPr>
          <w:p w:rsidR="005F3E4A" w:rsidRPr="005F3E4A" w:rsidRDefault="005F3E4A" w:rsidP="0043352D">
            <w:pPr>
              <w:ind w:right="578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820" w:type="dxa"/>
          </w:tcPr>
          <w:p w:rsidR="005F3E4A" w:rsidRPr="005F3E4A" w:rsidRDefault="003412F1" w:rsidP="005F3E4A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226 616 </w:t>
            </w:r>
            <w:r w:rsid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000</w:t>
            </w:r>
          </w:p>
        </w:tc>
      </w:tr>
      <w:tr w:rsidR="005F3E4A" w:rsidRPr="005F3E4A" w:rsidTr="005F3E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1940" w:type="dxa"/>
            <w:noWrap/>
            <w:hideMark/>
          </w:tcPr>
          <w:p w:rsidR="005F3E4A" w:rsidRPr="005F3E4A" w:rsidRDefault="005F3E4A" w:rsidP="005F3E4A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UV č.</w:t>
            </w:r>
            <w:r w:rsidR="002C5B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889 B3</w:t>
            </w:r>
          </w:p>
        </w:tc>
        <w:tc>
          <w:tcPr>
            <w:tcW w:w="1820" w:type="dxa"/>
            <w:noWrap/>
            <w:hideMark/>
          </w:tcPr>
          <w:p w:rsidR="005F3E4A" w:rsidRPr="005F3E4A" w:rsidRDefault="005F3E4A" w:rsidP="0043352D">
            <w:pPr>
              <w:ind w:right="578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820" w:type="dxa"/>
          </w:tcPr>
          <w:p w:rsidR="005F3E4A" w:rsidRPr="005F3E4A" w:rsidRDefault="003412F1" w:rsidP="005F3E4A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33 400 </w:t>
            </w:r>
            <w:r w:rsid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000</w:t>
            </w:r>
          </w:p>
        </w:tc>
      </w:tr>
      <w:tr w:rsidR="005F3E4A" w:rsidRPr="005F3E4A" w:rsidTr="00F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1940" w:type="dxa"/>
            <w:noWrap/>
            <w:hideMark/>
          </w:tcPr>
          <w:p w:rsidR="005F3E4A" w:rsidRPr="005F3E4A" w:rsidRDefault="005F3E4A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UV č.</w:t>
            </w:r>
            <w:r w:rsidR="002C5B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889 C</w:t>
            </w:r>
          </w:p>
        </w:tc>
        <w:tc>
          <w:tcPr>
            <w:tcW w:w="1820" w:type="dxa"/>
            <w:noWrap/>
            <w:hideMark/>
          </w:tcPr>
          <w:p w:rsidR="005F3E4A" w:rsidRPr="005F3E4A" w:rsidRDefault="005F3E4A" w:rsidP="00DE6641">
            <w:pPr>
              <w:ind w:right="578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5D14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DE6641" w:rsidRPr="00705D14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820" w:type="dxa"/>
          </w:tcPr>
          <w:p w:rsidR="005F3E4A" w:rsidRPr="005F3E4A" w:rsidRDefault="00705D14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3412F1">
              <w:rPr>
                <w:rFonts w:ascii="Calibri" w:eastAsia="Times New Roman" w:hAnsi="Calibri" w:cs="Times New Roman"/>
                <w:color w:val="000000"/>
                <w:lang w:eastAsia="cs-CZ"/>
              </w:rPr>
              <w:t>80 029 </w:t>
            </w:r>
            <w:r w:rsid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522</w:t>
            </w:r>
          </w:p>
        </w:tc>
      </w:tr>
      <w:tr w:rsidR="005F3E4A" w:rsidRPr="005F3E4A" w:rsidTr="00F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1940" w:type="dxa"/>
            <w:noWrap/>
            <w:hideMark/>
          </w:tcPr>
          <w:p w:rsidR="005F3E4A" w:rsidRPr="005F3E4A" w:rsidRDefault="005F3E4A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Celkový součet</w:t>
            </w:r>
          </w:p>
        </w:tc>
        <w:tc>
          <w:tcPr>
            <w:tcW w:w="1820" w:type="dxa"/>
            <w:noWrap/>
            <w:hideMark/>
          </w:tcPr>
          <w:p w:rsidR="005F3E4A" w:rsidRPr="005F3E4A" w:rsidRDefault="005F3E4A" w:rsidP="00705D14">
            <w:pPr>
              <w:ind w:right="578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</w:t>
            </w:r>
            <w:r w:rsidR="00705D1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1820" w:type="dxa"/>
          </w:tcPr>
          <w:p w:rsidR="005F3E4A" w:rsidRPr="005F3E4A" w:rsidRDefault="005F3E4A" w:rsidP="00705D1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  <w:r w:rsidR="00705D1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  <w:r w:rsidR="003412F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  <w:r w:rsidR="00705D1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608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r w:rsidR="00705D1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5.128</w:t>
            </w:r>
          </w:p>
        </w:tc>
      </w:tr>
    </w:tbl>
    <w:p w:rsidR="0043352D" w:rsidRDefault="0043352D" w:rsidP="000A615A"/>
    <w:p w:rsidR="005F3E4A" w:rsidRPr="00D50357" w:rsidRDefault="0043352D" w:rsidP="000A615A">
      <w:r w:rsidRPr="00D50357">
        <w:t>Ze 4</w:t>
      </w:r>
      <w:r w:rsidR="00DE6641" w:rsidRPr="00D50357">
        <w:t>7</w:t>
      </w:r>
      <w:r w:rsidRPr="00D50357">
        <w:t xml:space="preserve"> přijatých žádostí o stanovisko OHA bylo nesouhlasné stanovisko vydáno jen jediné žádosti a to Generálního ředitelství celní správy do výzvy IROP č. 4 Aktivity vedoucí k úplnému elektronickému podání. Při opakovaném podání upravené žádosti bylo následně vydáno souhlasné stanovisko i tomuto projektu. Ke dni 30. 6. 2016 bylo 1</w:t>
      </w:r>
      <w:r w:rsidR="00D50357">
        <w:t>1</w:t>
      </w:r>
      <w:r w:rsidRPr="00D50357">
        <w:t xml:space="preserve"> žádostí z celkových 4</w:t>
      </w:r>
      <w:r w:rsidR="00DE6641" w:rsidRPr="00D50357">
        <w:t>7</w:t>
      </w:r>
      <w:r w:rsidRPr="00D50357">
        <w:t xml:space="preserve"> stále v procesu posuzování či čekání na doplnění dalších informací.</w:t>
      </w:r>
    </w:p>
    <w:p w:rsidR="0043352D" w:rsidRDefault="0043352D" w:rsidP="000A615A">
      <w:r w:rsidRPr="00D50357">
        <w:t>Skutečnost, že bylo vydáno 3</w:t>
      </w:r>
      <w:r w:rsidR="006663C4">
        <w:t>5</w:t>
      </w:r>
      <w:r w:rsidRPr="00D50357">
        <w:t xml:space="preserve"> souhlasných oproti jednomu nesouhlasnému</w:t>
      </w:r>
      <w:r>
        <w:t xml:space="preserve"> stanovisku, však není způsobena bezchybností předkládaných žádostí. OHA v rámci posuzování ve většině případů vstupuje do konstruktivního jednání s žadatelem. Při tomto jednání jsou řešeny nejasnosti a rozpory, jež zpravidla končí dohodou o úpravách projektu a podání aktualizované žádosti o stanovisko.</w:t>
      </w:r>
    </w:p>
    <w:p w:rsidR="00A74F48" w:rsidRDefault="00A74F48" w:rsidP="000A615A"/>
    <w:p w:rsidR="00A74F48" w:rsidRDefault="00A74F48">
      <w:pPr>
        <w:jc w:val="left"/>
        <w:sectPr w:rsidR="00A74F48" w:rsidSect="009832BC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E79EC" w:rsidRDefault="001C33A7" w:rsidP="004D4942">
      <w:pPr>
        <w:pStyle w:val="Nadpis1"/>
        <w:numPr>
          <w:ilvl w:val="0"/>
          <w:numId w:val="0"/>
        </w:numPr>
        <w:ind w:left="432" w:hanging="432"/>
      </w:pPr>
      <w:bookmarkStart w:id="3" w:name="_Toc455133813"/>
      <w:r w:rsidRPr="00D50357">
        <w:lastRenderedPageBreak/>
        <w:t>Příloha</w:t>
      </w:r>
      <w:r>
        <w:t xml:space="preserve"> 1 – Seznam posuzovaných projektů</w:t>
      </w:r>
      <w:r w:rsidR="006663C4">
        <w:t>, stav k 30. 6. 2016</w:t>
      </w:r>
      <w:bookmarkEnd w:id="3"/>
      <w:r w:rsidR="00FE79EC">
        <w:fldChar w:fldCharType="begin"/>
      </w:r>
      <w:r w:rsidR="00FE79EC">
        <w:instrText xml:space="preserve"> LINK </w:instrText>
      </w:r>
      <w:r w:rsidR="006663C4">
        <w:instrText xml:space="preserve">Excel.Sheet.12 C:\\Users\\TajtlM\\Desktop\\prehled_terminu_schvalovani_projektu.xlsx "Přehled termínů!R1C3:R46C32" </w:instrText>
      </w:r>
      <w:r w:rsidR="00FE79EC">
        <w:instrText xml:space="preserve">\a \f 4 \h  \* MERGEFORMAT </w:instrText>
      </w:r>
      <w:r w:rsidR="00FE79EC">
        <w:fldChar w:fldCharType="separate"/>
      </w:r>
    </w:p>
    <w:tbl>
      <w:tblPr>
        <w:tblStyle w:val="Svtlmkazvraznn1"/>
        <w:tblW w:w="15452" w:type="dxa"/>
        <w:tblInd w:w="-601" w:type="dxa"/>
        <w:tblLook w:val="0420" w:firstRow="1" w:lastRow="0" w:firstColumn="0" w:lastColumn="0" w:noHBand="0" w:noVBand="1"/>
      </w:tblPr>
      <w:tblGrid>
        <w:gridCol w:w="2836"/>
        <w:gridCol w:w="5670"/>
        <w:gridCol w:w="2268"/>
        <w:gridCol w:w="1417"/>
        <w:gridCol w:w="1701"/>
        <w:gridCol w:w="1560"/>
      </w:tblGrid>
      <w:tr w:rsidR="0039244E" w:rsidRPr="0032730F" w:rsidTr="002C5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04"/>
          <w:tblHeader/>
        </w:trPr>
        <w:tc>
          <w:tcPr>
            <w:tcW w:w="2836" w:type="dxa"/>
          </w:tcPr>
          <w:p w:rsidR="0039244E" w:rsidRPr="0032730F" w:rsidRDefault="0039244E" w:rsidP="0032730F">
            <w:pPr>
              <w:jc w:val="left"/>
              <w:rPr>
                <w:rFonts w:ascii="Calibri" w:eastAsia="Times New Roman" w:hAnsi="Calibri" w:cs="Times New Roman"/>
                <w:bCs w:val="0"/>
                <w:lang w:eastAsia="cs-CZ"/>
              </w:rPr>
            </w:pPr>
            <w:r w:rsidRPr="0032730F">
              <w:rPr>
                <w:rFonts w:ascii="Calibri" w:eastAsia="Times New Roman" w:hAnsi="Calibri" w:cs="Times New Roman"/>
                <w:bCs w:val="0"/>
                <w:lang w:eastAsia="cs-CZ"/>
              </w:rPr>
              <w:t xml:space="preserve">Název </w:t>
            </w:r>
            <w:r>
              <w:rPr>
                <w:rFonts w:ascii="Calibri" w:eastAsia="Times New Roman" w:hAnsi="Calibri" w:cs="Times New Roman"/>
                <w:bCs w:val="0"/>
                <w:lang w:eastAsia="cs-CZ"/>
              </w:rPr>
              <w:t>žadatele</w:t>
            </w:r>
          </w:p>
        </w:tc>
        <w:tc>
          <w:tcPr>
            <w:tcW w:w="5670" w:type="dxa"/>
            <w:noWrap/>
            <w:hideMark/>
          </w:tcPr>
          <w:p w:rsidR="0039244E" w:rsidRPr="0032730F" w:rsidRDefault="0039244E" w:rsidP="00FE79EC">
            <w:pPr>
              <w:jc w:val="left"/>
              <w:rPr>
                <w:rFonts w:ascii="Calibri" w:eastAsia="Times New Roman" w:hAnsi="Calibri" w:cs="Times New Roman"/>
                <w:bCs w:val="0"/>
                <w:lang w:eastAsia="cs-CZ"/>
              </w:rPr>
            </w:pPr>
            <w:r w:rsidRPr="0032730F">
              <w:rPr>
                <w:rFonts w:ascii="Calibri" w:eastAsia="Times New Roman" w:hAnsi="Calibri" w:cs="Times New Roman"/>
                <w:bCs w:val="0"/>
                <w:lang w:eastAsia="cs-CZ"/>
              </w:rPr>
              <w:t>Název projektu</w:t>
            </w:r>
          </w:p>
        </w:tc>
        <w:tc>
          <w:tcPr>
            <w:tcW w:w="2268" w:type="dxa"/>
            <w:noWrap/>
            <w:hideMark/>
          </w:tcPr>
          <w:p w:rsidR="0039244E" w:rsidRPr="0032730F" w:rsidRDefault="0039244E" w:rsidP="00FE79EC">
            <w:pPr>
              <w:jc w:val="left"/>
              <w:rPr>
                <w:rFonts w:ascii="Calibri" w:eastAsia="Times New Roman" w:hAnsi="Calibri" w:cs="Times New Roman"/>
                <w:bCs w:val="0"/>
                <w:lang w:eastAsia="cs-CZ"/>
              </w:rPr>
            </w:pPr>
            <w:r w:rsidRPr="0032730F">
              <w:rPr>
                <w:rFonts w:ascii="Calibri" w:eastAsia="Times New Roman" w:hAnsi="Calibri" w:cs="Times New Roman"/>
                <w:bCs w:val="0"/>
                <w:lang w:eastAsia="cs-CZ"/>
              </w:rPr>
              <w:t>Stav žádosti</w:t>
            </w:r>
          </w:p>
        </w:tc>
        <w:tc>
          <w:tcPr>
            <w:tcW w:w="1417" w:type="dxa"/>
            <w:noWrap/>
            <w:hideMark/>
          </w:tcPr>
          <w:p w:rsidR="0039244E" w:rsidRPr="0032730F" w:rsidRDefault="0039244E" w:rsidP="00FE79EC">
            <w:pPr>
              <w:jc w:val="left"/>
              <w:rPr>
                <w:rFonts w:ascii="Calibri" w:eastAsia="Times New Roman" w:hAnsi="Calibri" w:cs="Times New Roman"/>
                <w:bCs w:val="0"/>
                <w:lang w:eastAsia="cs-CZ"/>
              </w:rPr>
            </w:pPr>
            <w:r w:rsidRPr="0032730F">
              <w:rPr>
                <w:rFonts w:ascii="Calibri" w:eastAsia="Times New Roman" w:hAnsi="Calibri" w:cs="Times New Roman"/>
                <w:bCs w:val="0"/>
                <w:lang w:eastAsia="cs-CZ"/>
              </w:rPr>
              <w:t>Typ žádosti</w:t>
            </w:r>
          </w:p>
        </w:tc>
        <w:tc>
          <w:tcPr>
            <w:tcW w:w="1701" w:type="dxa"/>
            <w:noWrap/>
            <w:hideMark/>
          </w:tcPr>
          <w:p w:rsidR="0039244E" w:rsidRPr="0032730F" w:rsidRDefault="0039244E" w:rsidP="002C5B5B">
            <w:pPr>
              <w:jc w:val="center"/>
              <w:rPr>
                <w:rFonts w:ascii="Calibri" w:eastAsia="Times New Roman" w:hAnsi="Calibri" w:cs="Times New Roman"/>
                <w:bCs w:val="0"/>
                <w:lang w:eastAsia="cs-CZ"/>
              </w:rPr>
            </w:pPr>
            <w:r w:rsidRPr="0032730F">
              <w:rPr>
                <w:rFonts w:ascii="Calibri" w:eastAsia="Times New Roman" w:hAnsi="Calibri" w:cs="Times New Roman"/>
                <w:bCs w:val="0"/>
                <w:lang w:eastAsia="cs-CZ"/>
              </w:rPr>
              <w:t xml:space="preserve">5 leté </w:t>
            </w:r>
            <w:r w:rsidR="002C5B5B">
              <w:rPr>
                <w:rFonts w:ascii="Calibri" w:eastAsia="Times New Roman" w:hAnsi="Calibri" w:cs="Times New Roman"/>
                <w:bCs w:val="0"/>
                <w:lang w:eastAsia="cs-CZ"/>
              </w:rPr>
              <w:t>externí výdaje</w:t>
            </w:r>
          </w:p>
        </w:tc>
        <w:tc>
          <w:tcPr>
            <w:tcW w:w="1560" w:type="dxa"/>
            <w:noWrap/>
            <w:hideMark/>
          </w:tcPr>
          <w:p w:rsidR="0039244E" w:rsidRPr="0032730F" w:rsidRDefault="0039244E" w:rsidP="002C5B5B">
            <w:pPr>
              <w:jc w:val="center"/>
              <w:rPr>
                <w:rFonts w:ascii="Calibri" w:eastAsia="Times New Roman" w:hAnsi="Calibri" w:cs="Times New Roman"/>
                <w:bCs w:val="0"/>
                <w:lang w:eastAsia="cs-CZ"/>
              </w:rPr>
            </w:pPr>
            <w:r w:rsidRPr="0032730F">
              <w:rPr>
                <w:rFonts w:ascii="Calibri" w:eastAsia="Times New Roman" w:hAnsi="Calibri" w:cs="Times New Roman"/>
                <w:bCs w:val="0"/>
                <w:lang w:eastAsia="cs-CZ"/>
              </w:rPr>
              <w:t>Hodnota záměru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Generální ředitelství cel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Celní kodex Unie - elektronizace celního řízení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Nesouhlasné</w:t>
            </w:r>
            <w:r w:rsidR="0039244E" w:rsidRPr="00FE79EC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 xml:space="preserve"> 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IROP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280 919 043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196 930 000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spravedlnosti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IS Evidence přestupků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33 160 000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33 000 000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pro místní rozvoj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Obnova technické podpory k licencím SW a HW produktů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290 400 000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145 200 000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Český úřad zeměměřičský a katastrální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Obnova pracovních stanic resortu ČÚZK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102 000 000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100 000 000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Český úřad zeměměřičský a katastrální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Obnova HW na lokalitách resortu ČÚZK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24 300 000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22 300 000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Policejní prezidium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Rámcová smlouva o poskytování technické podpory rozvoje aplikačního software NS-VIS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B1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financí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ADIS -Integrace EET a </w:t>
            </w:r>
            <w:proofErr w:type="spell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danového</w:t>
            </w:r>
            <w:proofErr w:type="spell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systému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54 650 000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54 650 000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financí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Zajištení</w:t>
            </w:r>
            <w:proofErr w:type="spell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podpory provozu Integrovaného informačního systému státní pokladny (IISSP) II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B1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591 555 555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220 000 000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financí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Technická podpora IS VEMA - rok 2016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B1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91 000 000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18 200 000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financí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Zhodnocení ADIS v rámci pozáručního servisu v roce 2016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B1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210 750 000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42 150 000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financí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Základní pozáruční servis aplikace ADIS v roce 2016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B1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169 000 000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33 800 000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Generální finanční ředitelství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Technická podpora IS AVISME - rok 2016-2017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B1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144 500 000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57 800 000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Český statistický úřad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Podpora a rozvoj SIS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B1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77 711 000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62 200 000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Český statistický úřad</w:t>
            </w:r>
          </w:p>
        </w:tc>
        <w:tc>
          <w:tcPr>
            <w:tcW w:w="5670" w:type="dxa"/>
            <w:noWrap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Programové vybavení pro zpracování a prezentaci výsledků voleb a referend</w:t>
            </w:r>
          </w:p>
        </w:tc>
        <w:tc>
          <w:tcPr>
            <w:tcW w:w="2268" w:type="dxa"/>
            <w:noWrap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B1</w:t>
            </w:r>
          </w:p>
        </w:tc>
        <w:tc>
          <w:tcPr>
            <w:tcW w:w="1701" w:type="dxa"/>
            <w:noWrap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37 180 000</w:t>
            </w:r>
          </w:p>
        </w:tc>
        <w:tc>
          <w:tcPr>
            <w:tcW w:w="1560" w:type="dxa"/>
            <w:noWrap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29 745 000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Český statistický úřad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Poskytování služeb správy a rozvoje IS ROS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B1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203 037 500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177 930 000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Generální ředitelství cel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Celní kodex unie - elektronizace celního řízení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IROP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280 919 043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196 930 000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financí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ADIS Hot-line, konzultační služby, technická podpora v roce 2016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B1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78 500 000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15 700 000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Český statistický úřad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Obnova infrastrukturních serverů na Krajských Správách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22 181 000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22 181 000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Ministerstvo vnitra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Umístění technologických celků kritických a významných informačních systémů ve správě Ministerstva vnitra ČR do NDC (Národních Datových Center) ČP a SPCSS v souladu s opatřeními dle zákona č. 181/2014 Sb. (dostupnost, zabezpečení, technologie a konektivit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137 498 350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90 800 000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Český úřad zeměměřičský a katastrální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Provoz a rozvoj DMS 2017 – 2021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  <w:t>V hodnocení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57 500 000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46 000 000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Česká správa sociálního zabezpečení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Odborné poradenské a konzultační služby systémové integrace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56 000 000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11 200 000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Státní úřad pro kontrolu léčiv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Informační systém </w:t>
            </w:r>
            <w:proofErr w:type="spell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eRecept</w:t>
            </w:r>
            <w:proofErr w:type="spellEnd"/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74 741 700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74 741 700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Český hydrometeorologický ústav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Obnova výpočetního systému pro provoz a rozvoj numerického modelu atmosféry ALADIN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57 851 240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57 851 240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dopravy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Zajištění provozu Systému elektronického mýta po roce 2016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B1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11 000 000 000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6 600 000 000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vnitra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Rozšíření poskytování stávajících služeb podpory provozu a rozvoje EKIS podle smlouvy čj. MV-73558-10/EKIS-2012 – zajištění licencí pro </w:t>
            </w:r>
            <w:proofErr w:type="spell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ISoSS</w:t>
            </w:r>
            <w:proofErr w:type="spellEnd"/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43 000 000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8 600 000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práce a sociálních věcí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Resortní elektronický systém spisové služby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  <w:t>Čekání na doplnění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B1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279 000 000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279 000 000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práce a sociálních věcí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Nasazení RESSS na MPSV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  <w:t>Čekání na doplnění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B3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33 400 000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33 400 000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Generální ředitelství cel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Nákup notebooků, včetně příslušenství v rámci Celní Správy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30 000 000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30 000 000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životního prostředí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Ekonomický informační systém se začleněním lesní výroby v národních parcích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  <w:t>Čekání na doplnění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75 700 000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75 700 000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vnitra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Zajištění provozu Integrované telekomunikační sítě nové generace a CMS2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720 666 410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144 133 282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Policejní prezidium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Národní vízový informační systém - NS-VIS – rámcová smlouva, aplikační podpora, projekt VISA CODE PLUS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B1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334 000 000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200 000 000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Český telekomunikační úřad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Generační inovace SW nástroje pro správu kmitočtového spektra ČR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  <w:t>Čekání na doplnění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235 000 000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235 000 000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Ministerstvo dopravy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RÁMCOVÁ SMLOUVA O PLNĚNÍ ZAKÁZEK A POSKYTOVÁNÍ ODBORNÝCH PORADENSKÝCH A DALŠÍCH SLUŽEB V RESORTU MINISTERSTVA DOPRAVY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187 500 000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150 000 000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Generální ředitelství Hasičského záchranného sboru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Rozšíření funkcionalit a úprava systému TCTV 112 a Implementace </w:t>
            </w:r>
            <w:proofErr w:type="spell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eCall</w:t>
            </w:r>
            <w:proofErr w:type="spell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 systému TCTV 112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51 400 000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51 400 000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Národní Archiv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Národní digitální archiv II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2C5B5B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IROP</w:t>
            </w:r>
            <w:r w:rsidR="002C5B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+</w:t>
            </w:r>
            <w:r w:rsidR="002C5B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UV</w:t>
            </w:r>
            <w:r w:rsidR="002C5B5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="002C5B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42 946 784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42 946 784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pro místní rozvoj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Obnova technické podpory k HW a SW produktům Národního elektronického nástroje (NEN)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  <w:t>Čekání na doplnění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B1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300 000 000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80 000 000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Státní pozemkový úřad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Rámcová smlouva na outsourcing profesionálních odborných služeb ICT pro období 2016-2018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B1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54 000 000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25 000 000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Statutární město Hradec Králové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Portál občana a komunikace s úřadem přes internet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IROP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16 088 200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16 088 200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vnitra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Rozvoj a modernizace informačních systémů pro nakládání s utajovanými informacemi (RAMIS UI)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79 300 000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79 300 000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Generální ředitelství Hasičského záchranného sboru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Poskytování technické podpory aplikačního programového vybavení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93 000 000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78 864 000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Město Hustopeče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Úřad podporující eGovernment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  <w:t>V hodnocení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IROP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11 019 913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11 019 913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vnitra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Rámcová smlouva na poskytování služeb do konce roku 2016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350 000 000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35 000 000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dopravy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Zajištění provozu a rozvoje Centrálního registru vozidel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D50357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 xml:space="preserve">Souhlasné </w:t>
            </w:r>
            <w:r w:rsidRPr="00FE79EC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stanovisko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B1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165 795 000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160 000 000</w:t>
            </w:r>
          </w:p>
        </w:tc>
      </w:tr>
      <w:tr w:rsidR="0039244E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vnitra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Dohledové centrum eGovernmentu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  <w:t>V hodnocení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B1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625 735 011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573 188 009</w:t>
            </w:r>
          </w:p>
        </w:tc>
      </w:tr>
      <w:tr w:rsidR="0039244E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vnitra</w:t>
            </w:r>
          </w:p>
        </w:tc>
        <w:tc>
          <w:tcPr>
            <w:tcW w:w="5670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DCeGOV</w:t>
            </w:r>
            <w:proofErr w:type="spell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rozvoj technologické platformy pro bezpečnostní dohledy</w:t>
            </w:r>
          </w:p>
        </w:tc>
        <w:tc>
          <w:tcPr>
            <w:tcW w:w="2268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  <w:t>V hodnocení</w:t>
            </w:r>
          </w:p>
        </w:tc>
        <w:tc>
          <w:tcPr>
            <w:tcW w:w="1417" w:type="dxa"/>
            <w:noWrap/>
            <w:hideMark/>
          </w:tcPr>
          <w:p w:rsidR="0039244E" w:rsidRPr="00FE79EC" w:rsidRDefault="0039244E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B2</w:t>
            </w:r>
          </w:p>
        </w:tc>
        <w:tc>
          <w:tcPr>
            <w:tcW w:w="1701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255 570 000</w:t>
            </w:r>
          </w:p>
        </w:tc>
        <w:tc>
          <w:tcPr>
            <w:tcW w:w="1560" w:type="dxa"/>
            <w:noWrap/>
            <w:hideMark/>
          </w:tcPr>
          <w:p w:rsidR="0039244E" w:rsidRPr="00FE79EC" w:rsidRDefault="0039244E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79EC">
              <w:rPr>
                <w:rFonts w:ascii="Calibri" w:eastAsia="Times New Roman" w:hAnsi="Calibri" w:cs="Times New Roman"/>
                <w:color w:val="000000"/>
                <w:lang w:eastAsia="cs-CZ"/>
              </w:rPr>
              <w:t>226 616 000</w:t>
            </w:r>
          </w:p>
        </w:tc>
      </w:tr>
      <w:tr w:rsidR="00DE6641" w:rsidRPr="00FE79EC" w:rsidTr="002C5B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DE6641" w:rsidRPr="00FE79EC" w:rsidRDefault="00DE6641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6641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dopravy</w:t>
            </w:r>
          </w:p>
        </w:tc>
        <w:tc>
          <w:tcPr>
            <w:tcW w:w="5670" w:type="dxa"/>
            <w:noWrap/>
          </w:tcPr>
          <w:p w:rsidR="00DE6641" w:rsidRPr="00FE79EC" w:rsidRDefault="00DE6641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6641">
              <w:rPr>
                <w:rFonts w:ascii="Calibri" w:eastAsia="Times New Roman" w:hAnsi="Calibri" w:cs="Times New Roman"/>
                <w:color w:val="000000"/>
                <w:lang w:eastAsia="cs-CZ"/>
              </w:rPr>
              <w:t>Poskytování služeb provozu infrastruktury pro informační systémy Ministerstva dopravy</w:t>
            </w:r>
          </w:p>
        </w:tc>
        <w:tc>
          <w:tcPr>
            <w:tcW w:w="2268" w:type="dxa"/>
            <w:noWrap/>
          </w:tcPr>
          <w:p w:rsidR="00DE6641" w:rsidRPr="00FE79EC" w:rsidRDefault="00DE6641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</w:pPr>
            <w:r w:rsidRPr="00DE6641"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  <w:t>V hodnocení</w:t>
            </w:r>
          </w:p>
        </w:tc>
        <w:tc>
          <w:tcPr>
            <w:tcW w:w="1417" w:type="dxa"/>
            <w:noWrap/>
          </w:tcPr>
          <w:p w:rsidR="00DE6641" w:rsidRPr="00FE79EC" w:rsidRDefault="00DE6641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664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DE6641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DE664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C</w:t>
            </w:r>
          </w:p>
        </w:tc>
        <w:tc>
          <w:tcPr>
            <w:tcW w:w="1701" w:type="dxa"/>
            <w:noWrap/>
          </w:tcPr>
          <w:p w:rsidR="00DE6641" w:rsidRPr="00FE79EC" w:rsidRDefault="00DE6641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6641">
              <w:rPr>
                <w:rFonts w:ascii="Calibri" w:eastAsia="Times New Roman" w:hAnsi="Calibri" w:cs="Times New Roman"/>
                <w:color w:val="000000"/>
                <w:lang w:eastAsia="cs-CZ"/>
              </w:rPr>
              <w:t>275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E6641">
              <w:rPr>
                <w:rFonts w:ascii="Calibri" w:eastAsia="Times New Roman" w:hAnsi="Calibri" w:cs="Times New Roman"/>
                <w:color w:val="000000"/>
                <w:lang w:eastAsia="cs-CZ"/>
              </w:rPr>
              <w:t>000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E6641">
              <w:rPr>
                <w:rFonts w:ascii="Calibri" w:eastAsia="Times New Roman" w:hAnsi="Calibri" w:cs="Times New Roman"/>
                <w:color w:val="000000"/>
                <w:lang w:eastAsia="cs-CZ"/>
              </w:rPr>
              <w:t>000</w:t>
            </w:r>
          </w:p>
        </w:tc>
        <w:tc>
          <w:tcPr>
            <w:tcW w:w="1560" w:type="dxa"/>
            <w:noWrap/>
          </w:tcPr>
          <w:p w:rsidR="00DE6641" w:rsidRPr="00FE79EC" w:rsidRDefault="00DE6641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300 000 000</w:t>
            </w:r>
          </w:p>
        </w:tc>
      </w:tr>
      <w:tr w:rsidR="00DE6641" w:rsidRPr="00FE79EC" w:rsidTr="002C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2836" w:type="dxa"/>
          </w:tcPr>
          <w:p w:rsidR="00DE6641" w:rsidRPr="00FE79EC" w:rsidRDefault="00DE6641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6641"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financí</w:t>
            </w:r>
          </w:p>
        </w:tc>
        <w:tc>
          <w:tcPr>
            <w:tcW w:w="5670" w:type="dxa"/>
            <w:noWrap/>
          </w:tcPr>
          <w:p w:rsidR="00DE6641" w:rsidRPr="00FE79EC" w:rsidRDefault="00DE6641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6641">
              <w:rPr>
                <w:rFonts w:ascii="Calibri" w:eastAsia="Times New Roman" w:hAnsi="Calibri" w:cs="Times New Roman"/>
                <w:color w:val="000000"/>
                <w:lang w:eastAsia="cs-CZ"/>
              </w:rPr>
              <w:t>Informační systém pro dohled nad hazardn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ími hrami</w:t>
            </w:r>
          </w:p>
        </w:tc>
        <w:tc>
          <w:tcPr>
            <w:tcW w:w="2268" w:type="dxa"/>
            <w:noWrap/>
          </w:tcPr>
          <w:p w:rsidR="00DE6641" w:rsidRPr="00FE79EC" w:rsidRDefault="00DE6641" w:rsidP="00FE79EC">
            <w:pPr>
              <w:jc w:val="left"/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</w:pPr>
            <w:r w:rsidRPr="00DE6641">
              <w:rPr>
                <w:rFonts w:ascii="Calibri" w:eastAsia="Times New Roman" w:hAnsi="Calibri" w:cs="Times New Roman"/>
                <w:b/>
                <w:bCs/>
                <w:color w:val="E26B0A"/>
                <w:lang w:eastAsia="cs-CZ"/>
              </w:rPr>
              <w:t>V hodnocení</w:t>
            </w:r>
          </w:p>
        </w:tc>
        <w:tc>
          <w:tcPr>
            <w:tcW w:w="1417" w:type="dxa"/>
            <w:noWrap/>
          </w:tcPr>
          <w:p w:rsidR="00DE6641" w:rsidRPr="00FE79EC" w:rsidRDefault="00DE6641" w:rsidP="00FE79EC">
            <w:pPr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E664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UV </w:t>
            </w:r>
            <w:proofErr w:type="gramStart"/>
            <w:r w:rsidRPr="00DE6641">
              <w:rPr>
                <w:rFonts w:ascii="Calibri" w:eastAsia="Times New Roman" w:hAnsi="Calibri" w:cs="Times New Roman"/>
                <w:color w:val="000000"/>
                <w:lang w:eastAsia="cs-CZ"/>
              </w:rPr>
              <w:t>č.889</w:t>
            </w:r>
            <w:proofErr w:type="gramEnd"/>
            <w:r w:rsidRPr="00DE664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</w:p>
        </w:tc>
        <w:tc>
          <w:tcPr>
            <w:tcW w:w="1701" w:type="dxa"/>
            <w:noWrap/>
          </w:tcPr>
          <w:p w:rsidR="00DE6641" w:rsidRPr="00FE79EC" w:rsidRDefault="009B7D02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7D02">
              <w:rPr>
                <w:rFonts w:ascii="Calibri" w:eastAsia="Times New Roman" w:hAnsi="Calibri" w:cs="Times New Roman"/>
                <w:color w:val="000000"/>
                <w:lang w:eastAsia="cs-CZ"/>
              </w:rPr>
              <w:t>447 500 000</w:t>
            </w:r>
          </w:p>
        </w:tc>
        <w:tc>
          <w:tcPr>
            <w:tcW w:w="1560" w:type="dxa"/>
            <w:noWrap/>
          </w:tcPr>
          <w:p w:rsidR="00DE6641" w:rsidRPr="00FE79EC" w:rsidRDefault="009B7D02" w:rsidP="00FE79EC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7D02">
              <w:rPr>
                <w:rFonts w:ascii="Calibri" w:eastAsia="Times New Roman" w:hAnsi="Calibri" w:cs="Times New Roman"/>
                <w:color w:val="000000"/>
                <w:lang w:eastAsia="cs-CZ"/>
              </w:rPr>
              <w:t>447 500 000</w:t>
            </w:r>
          </w:p>
        </w:tc>
      </w:tr>
    </w:tbl>
    <w:p w:rsidR="001C33A7" w:rsidRPr="0082122D" w:rsidRDefault="00FE79EC" w:rsidP="000A615A">
      <w:r>
        <w:fldChar w:fldCharType="end"/>
      </w:r>
    </w:p>
    <w:sectPr w:rsidR="001C33A7" w:rsidRPr="0082122D" w:rsidSect="009B7D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B7" w:rsidRDefault="00EE33B7" w:rsidP="009832BC">
      <w:pPr>
        <w:spacing w:after="0" w:line="240" w:lineRule="auto"/>
      </w:pPr>
      <w:r>
        <w:separator/>
      </w:r>
    </w:p>
  </w:endnote>
  <w:endnote w:type="continuationSeparator" w:id="0">
    <w:p w:rsidR="00EE33B7" w:rsidRDefault="00EE33B7" w:rsidP="0098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890964"/>
      <w:docPartObj>
        <w:docPartGallery w:val="Page Numbers (Bottom of Page)"/>
        <w:docPartUnique/>
      </w:docPartObj>
    </w:sdtPr>
    <w:sdtEndPr/>
    <w:sdtContent>
      <w:p w:rsidR="00FE79EC" w:rsidRDefault="00FE79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8C3">
          <w:rPr>
            <w:noProof/>
          </w:rPr>
          <w:t>4</w:t>
        </w:r>
        <w:r>
          <w:fldChar w:fldCharType="end"/>
        </w:r>
      </w:p>
    </w:sdtContent>
  </w:sdt>
  <w:p w:rsidR="00FE79EC" w:rsidRDefault="00FE79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B7" w:rsidRDefault="00EE33B7" w:rsidP="009832BC">
      <w:pPr>
        <w:spacing w:after="0" w:line="240" w:lineRule="auto"/>
      </w:pPr>
      <w:r>
        <w:separator/>
      </w:r>
    </w:p>
  </w:footnote>
  <w:footnote w:type="continuationSeparator" w:id="0">
    <w:p w:rsidR="00EE33B7" w:rsidRDefault="00EE33B7" w:rsidP="00983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9EC" w:rsidRDefault="00FE79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78FB5AA" wp14:editId="1F38F92D">
          <wp:simplePos x="0" y="0"/>
          <wp:positionH relativeFrom="margin">
            <wp:posOffset>-128270</wp:posOffset>
          </wp:positionH>
          <wp:positionV relativeFrom="page">
            <wp:posOffset>123825</wp:posOffset>
          </wp:positionV>
          <wp:extent cx="1647825" cy="451485"/>
          <wp:effectExtent l="0" t="0" r="9525" b="5715"/>
          <wp:wrapSquare wrapText="bothSides"/>
          <wp:docPr id="6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749"/>
    <w:multiLevelType w:val="hybridMultilevel"/>
    <w:tmpl w:val="B6F8C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7179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66CF6566"/>
    <w:multiLevelType w:val="hybridMultilevel"/>
    <w:tmpl w:val="7A1604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91687"/>
    <w:multiLevelType w:val="hybridMultilevel"/>
    <w:tmpl w:val="E59AF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2D"/>
    <w:rsid w:val="000A615A"/>
    <w:rsid w:val="0015180F"/>
    <w:rsid w:val="00155905"/>
    <w:rsid w:val="001B158F"/>
    <w:rsid w:val="001C33A7"/>
    <w:rsid w:val="002304C4"/>
    <w:rsid w:val="002945D3"/>
    <w:rsid w:val="002C5B5B"/>
    <w:rsid w:val="00304E4F"/>
    <w:rsid w:val="0032730F"/>
    <w:rsid w:val="003412F1"/>
    <w:rsid w:val="003510D4"/>
    <w:rsid w:val="0039244E"/>
    <w:rsid w:val="0043352D"/>
    <w:rsid w:val="004546E5"/>
    <w:rsid w:val="004D4942"/>
    <w:rsid w:val="004E1204"/>
    <w:rsid w:val="005F3E4A"/>
    <w:rsid w:val="00613EA7"/>
    <w:rsid w:val="006663C4"/>
    <w:rsid w:val="00705D14"/>
    <w:rsid w:val="007B45AD"/>
    <w:rsid w:val="007E62A8"/>
    <w:rsid w:val="0082122D"/>
    <w:rsid w:val="009832BC"/>
    <w:rsid w:val="009B7D02"/>
    <w:rsid w:val="00A74F48"/>
    <w:rsid w:val="00B349F2"/>
    <w:rsid w:val="00B54F48"/>
    <w:rsid w:val="00B92B4C"/>
    <w:rsid w:val="00B9696B"/>
    <w:rsid w:val="00BA0003"/>
    <w:rsid w:val="00BB0E95"/>
    <w:rsid w:val="00C92061"/>
    <w:rsid w:val="00D50357"/>
    <w:rsid w:val="00DD1797"/>
    <w:rsid w:val="00DE6641"/>
    <w:rsid w:val="00ED7ABA"/>
    <w:rsid w:val="00EE33B7"/>
    <w:rsid w:val="00EE563B"/>
    <w:rsid w:val="00F24FD2"/>
    <w:rsid w:val="00F424DB"/>
    <w:rsid w:val="00F65FD2"/>
    <w:rsid w:val="00FA38C3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4DB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F424D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24D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24D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24D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24D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24D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24D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24D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24D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2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8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2BC"/>
  </w:style>
  <w:style w:type="paragraph" w:styleId="Zpat">
    <w:name w:val="footer"/>
    <w:basedOn w:val="Normln"/>
    <w:link w:val="ZpatChar"/>
    <w:uiPriority w:val="99"/>
    <w:unhideWhenUsed/>
    <w:rsid w:val="0098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2BC"/>
  </w:style>
  <w:style w:type="character" w:customStyle="1" w:styleId="Nadpis1Char">
    <w:name w:val="Nadpis 1 Char"/>
    <w:basedOn w:val="Standardnpsmoodstavce"/>
    <w:link w:val="Nadpis1"/>
    <w:uiPriority w:val="9"/>
    <w:rsid w:val="00F424D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424DB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2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24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24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24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24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24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24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24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424DB"/>
    <w:pPr>
      <w:tabs>
        <w:tab w:val="left" w:pos="440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424D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424DB"/>
    <w:pPr>
      <w:ind w:left="720"/>
      <w:contextualSpacing/>
    </w:pPr>
  </w:style>
  <w:style w:type="table" w:styleId="Svtlstnovnzvraznn1">
    <w:name w:val="Light Shading Accent 1"/>
    <w:basedOn w:val="Normlntabulka"/>
    <w:uiPriority w:val="60"/>
    <w:rsid w:val="005F3E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mkazvraznn1">
    <w:name w:val="Light Grid Accent 1"/>
    <w:basedOn w:val="Normlntabulka"/>
    <w:uiPriority w:val="62"/>
    <w:rsid w:val="005F3E4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4DB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F424D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24D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24D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24D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24D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24D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24D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24D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24D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2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8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2BC"/>
  </w:style>
  <w:style w:type="paragraph" w:styleId="Zpat">
    <w:name w:val="footer"/>
    <w:basedOn w:val="Normln"/>
    <w:link w:val="ZpatChar"/>
    <w:uiPriority w:val="99"/>
    <w:unhideWhenUsed/>
    <w:rsid w:val="0098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2BC"/>
  </w:style>
  <w:style w:type="character" w:customStyle="1" w:styleId="Nadpis1Char">
    <w:name w:val="Nadpis 1 Char"/>
    <w:basedOn w:val="Standardnpsmoodstavce"/>
    <w:link w:val="Nadpis1"/>
    <w:uiPriority w:val="9"/>
    <w:rsid w:val="00F424D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424DB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2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24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24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24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24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24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24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24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424DB"/>
    <w:pPr>
      <w:tabs>
        <w:tab w:val="left" w:pos="440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424D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424DB"/>
    <w:pPr>
      <w:ind w:left="720"/>
      <w:contextualSpacing/>
    </w:pPr>
  </w:style>
  <w:style w:type="table" w:styleId="Svtlstnovnzvraznn1">
    <w:name w:val="Light Shading Accent 1"/>
    <w:basedOn w:val="Normlntabulka"/>
    <w:uiPriority w:val="60"/>
    <w:rsid w:val="005F3E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mkazvraznn1">
    <w:name w:val="Light Grid Accent 1"/>
    <w:basedOn w:val="Normlntabulka"/>
    <w:uiPriority w:val="62"/>
    <w:rsid w:val="005F3E4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345D-3750-4BA2-B3A9-C85C6898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1849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Tajtl</dc:creator>
  <cp:lastModifiedBy>Martin Tajtl</cp:lastModifiedBy>
  <cp:revision>28</cp:revision>
  <dcterms:created xsi:type="dcterms:W3CDTF">2016-06-30T06:41:00Z</dcterms:created>
  <dcterms:modified xsi:type="dcterms:W3CDTF">2016-07-01T08:55:00Z</dcterms:modified>
</cp:coreProperties>
</file>