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2F7DEC" w14:textId="77777777" w:rsidR="004E438F" w:rsidRDefault="004E438F" w:rsidP="004E438F">
      <w:pPr>
        <w:pStyle w:val="Nadpis3"/>
        <w:tabs>
          <w:tab w:val="center" w:pos="3696"/>
        </w:tabs>
      </w:pPr>
    </w:p>
    <w:p w14:paraId="79FAB889" w14:textId="2B0BB356" w:rsidR="009666E9" w:rsidRPr="00064171" w:rsidRDefault="00EB6BEB" w:rsidP="00064171">
      <w:pPr>
        <w:rPr>
          <w:bCs/>
          <w:sz w:val="28"/>
          <w:szCs w:val="32"/>
        </w:rPr>
      </w:pPr>
      <w:r w:rsidRPr="00064171">
        <w:rPr>
          <w:b/>
          <w:bCs/>
          <w:sz w:val="28"/>
          <w:szCs w:val="32"/>
        </w:rPr>
        <w:t xml:space="preserve">Příloha </w:t>
      </w:r>
      <w:r w:rsidR="009666E9" w:rsidRPr="00064171">
        <w:rPr>
          <w:b/>
          <w:bCs/>
          <w:sz w:val="28"/>
          <w:szCs w:val="32"/>
        </w:rPr>
        <w:t>k formuláři žádosti o stanovisko Hlavního architekta eGovernmentu k plánovanému projektu zahrnujícímu záměr realizovat výdaj související s informačními a komunikačními technologiemi.</w:t>
      </w:r>
    </w:p>
    <w:p w14:paraId="74C14456" w14:textId="5149388A" w:rsidR="00C05E15" w:rsidRPr="00064171" w:rsidRDefault="009666E9" w:rsidP="00064171">
      <w:pPr>
        <w:rPr>
          <w:sz w:val="24"/>
          <w:szCs w:val="28"/>
        </w:rPr>
      </w:pPr>
      <w:r w:rsidRPr="00064171">
        <w:rPr>
          <w:sz w:val="24"/>
          <w:szCs w:val="28"/>
        </w:rPr>
        <w:t xml:space="preserve">Tato příloha </w:t>
      </w:r>
      <w:r>
        <w:rPr>
          <w:sz w:val="24"/>
          <w:szCs w:val="28"/>
        </w:rPr>
        <w:t xml:space="preserve">je součástí žádosti a doplňuje ji o náležitosti </w:t>
      </w:r>
      <w:r w:rsidR="00B826A4">
        <w:rPr>
          <w:sz w:val="24"/>
          <w:szCs w:val="28"/>
        </w:rPr>
        <w:t>interoperability stanovené</w:t>
      </w:r>
      <w:r>
        <w:rPr>
          <w:sz w:val="24"/>
          <w:szCs w:val="28"/>
        </w:rPr>
        <w:t xml:space="preserve"> </w:t>
      </w:r>
      <w:r w:rsidR="005F1E02" w:rsidRPr="005F1E02">
        <w:rPr>
          <w:sz w:val="24"/>
          <w:szCs w:val="28"/>
        </w:rPr>
        <w:t>Nařízení</w:t>
      </w:r>
      <w:r w:rsidR="005F1E02">
        <w:rPr>
          <w:sz w:val="24"/>
          <w:szCs w:val="28"/>
        </w:rPr>
        <w:t>m</w:t>
      </w:r>
      <w:r w:rsidR="005F1E02" w:rsidRPr="005F1E02">
        <w:rPr>
          <w:sz w:val="24"/>
          <w:szCs w:val="28"/>
        </w:rPr>
        <w:t xml:space="preserve"> Evropského parlamentu a Rady (EU) 2024/903 ze dne 13. března 2024, kterým se stanoví opatření pro vysokou úroveň interoperability veřejného sektoru v celé Unii (nařízení o interoperabilní Evropě)</w:t>
      </w:r>
      <w:r w:rsidR="00CE5B47">
        <w:rPr>
          <w:sz w:val="24"/>
          <w:szCs w:val="28"/>
        </w:rPr>
        <w:t xml:space="preserve"> </w:t>
      </w:r>
      <w:hyperlink r:id="rId7" w:history="1">
        <w:r w:rsidR="00CE5B47" w:rsidRPr="00374455">
          <w:rPr>
            <w:rStyle w:val="Hypertextovodkaz"/>
            <w:sz w:val="24"/>
            <w:szCs w:val="28"/>
          </w:rPr>
          <w:t>https://eur-lex.europa.eu/legal-content/CS/TXT/HTML/?uri=OJ:L_202400903</w:t>
        </w:r>
      </w:hyperlink>
      <w:r w:rsidR="00CE5B47">
        <w:rPr>
          <w:sz w:val="24"/>
          <w:szCs w:val="28"/>
        </w:rPr>
        <w:t xml:space="preserve"> </w:t>
      </w:r>
    </w:p>
    <w:p w14:paraId="73343F24" w14:textId="58F2AD4A" w:rsidR="00CE5B47" w:rsidRDefault="00CE5B47" w:rsidP="00A2080D">
      <w:pPr>
        <w:rPr>
          <w:sz w:val="24"/>
          <w:szCs w:val="28"/>
        </w:rPr>
      </w:pPr>
      <w:r>
        <w:rPr>
          <w:sz w:val="24"/>
          <w:szCs w:val="28"/>
        </w:rPr>
        <w:t>Interoperabilitou</w:t>
      </w:r>
      <w:r w:rsidR="002270D8">
        <w:rPr>
          <w:sz w:val="24"/>
          <w:szCs w:val="28"/>
        </w:rPr>
        <w:t xml:space="preserve"> se výše zmíněným nařízením </w:t>
      </w:r>
      <w:r w:rsidR="009E7CA6">
        <w:rPr>
          <w:sz w:val="24"/>
          <w:szCs w:val="28"/>
        </w:rPr>
        <w:t xml:space="preserve">článku 2 odst. 1 </w:t>
      </w:r>
      <w:r w:rsidR="002270D8">
        <w:rPr>
          <w:sz w:val="24"/>
          <w:szCs w:val="28"/>
        </w:rPr>
        <w:t xml:space="preserve">rozumí </w:t>
      </w:r>
      <w:r w:rsidR="009E7CA6">
        <w:rPr>
          <w:sz w:val="24"/>
          <w:szCs w:val="28"/>
        </w:rPr>
        <w:t>s</w:t>
      </w:r>
      <w:r w:rsidR="009E7CA6" w:rsidRPr="009E7CA6">
        <w:rPr>
          <w:sz w:val="24"/>
          <w:szCs w:val="28"/>
        </w:rPr>
        <w:t>chopnost subjektů Unie a subjektů veřejného sektoru členských států vzájemně přeshraničně interagovat sdílením dat, informací a znalostí prostřednictvím digitálních procesů v souladu s právními, organizačními, sémantickými a technickými požadavky souvisejícími s touto přeshraniční interakcí</w:t>
      </w:r>
      <w:r w:rsidR="009E7CA6">
        <w:rPr>
          <w:sz w:val="24"/>
          <w:szCs w:val="28"/>
        </w:rPr>
        <w:t>.</w:t>
      </w:r>
    </w:p>
    <w:p w14:paraId="6FE34391" w14:textId="74F462CB" w:rsidR="00CE5B47" w:rsidRDefault="00341462" w:rsidP="00A2080D">
      <w:pPr>
        <w:rPr>
          <w:sz w:val="24"/>
          <w:szCs w:val="28"/>
        </w:rPr>
      </w:pPr>
      <w:r>
        <w:rPr>
          <w:sz w:val="24"/>
          <w:szCs w:val="28"/>
        </w:rPr>
        <w:t>Tato p</w:t>
      </w:r>
      <w:r w:rsidR="00271854">
        <w:rPr>
          <w:sz w:val="24"/>
          <w:szCs w:val="28"/>
        </w:rPr>
        <w:t>říloha</w:t>
      </w:r>
      <w:r>
        <w:rPr>
          <w:sz w:val="24"/>
          <w:szCs w:val="28"/>
        </w:rPr>
        <w:t xml:space="preserve"> je povinná pro i</w:t>
      </w:r>
      <w:r w:rsidR="00CE5B47">
        <w:rPr>
          <w:sz w:val="24"/>
          <w:szCs w:val="28"/>
        </w:rPr>
        <w:t xml:space="preserve">nformační systém veřejné správy, který </w:t>
      </w:r>
      <w:r w:rsidR="00271854">
        <w:rPr>
          <w:sz w:val="24"/>
          <w:szCs w:val="28"/>
        </w:rPr>
        <w:t xml:space="preserve">má </w:t>
      </w:r>
      <w:r>
        <w:rPr>
          <w:sz w:val="24"/>
          <w:szCs w:val="28"/>
        </w:rPr>
        <w:t>p</w:t>
      </w:r>
      <w:r w:rsidR="00271854">
        <w:rPr>
          <w:sz w:val="24"/>
          <w:szCs w:val="28"/>
        </w:rPr>
        <w:t>rvek přeshraniční interoperability digitálních veřejných služeb. Tím se rozumí systém, kde jednotlivé subjekty veřejn</w:t>
      </w:r>
      <w:r>
        <w:rPr>
          <w:sz w:val="24"/>
          <w:szCs w:val="28"/>
        </w:rPr>
        <w:t>é</w:t>
      </w:r>
      <w:r w:rsidR="00271854">
        <w:rPr>
          <w:sz w:val="24"/>
          <w:szCs w:val="28"/>
        </w:rPr>
        <w:t xml:space="preserve">ho sektoru </w:t>
      </w:r>
      <w:r>
        <w:rPr>
          <w:sz w:val="24"/>
          <w:szCs w:val="28"/>
        </w:rPr>
        <w:t xml:space="preserve">vyžadují interakci přes hranice členských států. </w:t>
      </w:r>
    </w:p>
    <w:p w14:paraId="34951FDD" w14:textId="709FEC8E" w:rsidR="00A2080D" w:rsidRPr="00064171" w:rsidRDefault="00233F25" w:rsidP="00A2080D">
      <w:pPr>
        <w:rPr>
          <w:sz w:val="24"/>
          <w:szCs w:val="28"/>
        </w:rPr>
      </w:pPr>
      <w:r>
        <w:rPr>
          <w:sz w:val="24"/>
          <w:szCs w:val="28"/>
        </w:rPr>
        <w:t xml:space="preserve">Otázky se zaměřují na </w:t>
      </w:r>
      <w:r w:rsidR="009126AD">
        <w:rPr>
          <w:sz w:val="24"/>
          <w:szCs w:val="28"/>
        </w:rPr>
        <w:t xml:space="preserve">propojování systémů, které lze řešit i pomocí </w:t>
      </w:r>
      <w:r w:rsidR="004C648B">
        <w:rPr>
          <w:sz w:val="24"/>
          <w:szCs w:val="28"/>
        </w:rPr>
        <w:t>tzv. stavebních bloků</w:t>
      </w:r>
      <w:r>
        <w:rPr>
          <w:sz w:val="24"/>
          <w:szCs w:val="28"/>
        </w:rPr>
        <w:t xml:space="preserve"> EU </w:t>
      </w:r>
      <w:r w:rsidR="005E37E5">
        <w:rPr>
          <w:sz w:val="24"/>
          <w:szCs w:val="28"/>
        </w:rPr>
        <w:t xml:space="preserve">zveřejněných zde </w:t>
      </w:r>
      <w:hyperlink r:id="rId8" w:history="1">
        <w:r w:rsidR="005E37E5" w:rsidRPr="00374455">
          <w:rPr>
            <w:rStyle w:val="Hypertextovodkaz"/>
            <w:sz w:val="24"/>
            <w:szCs w:val="28"/>
          </w:rPr>
          <w:t>https://interoperable-europe.ec.europa.eu/collection/digital-building-blocks</w:t>
        </w:r>
      </w:hyperlink>
      <w:r w:rsidR="005E37E5">
        <w:rPr>
          <w:sz w:val="24"/>
          <w:szCs w:val="28"/>
        </w:rPr>
        <w:t xml:space="preserve"> </w:t>
      </w:r>
    </w:p>
    <w:tbl>
      <w:tblPr>
        <w:tblStyle w:val="TableGrid"/>
        <w:tblW w:w="11326" w:type="dxa"/>
        <w:tblInd w:w="6" w:type="dxa"/>
        <w:tblCellMar>
          <w:top w:w="7" w:type="dxa"/>
          <w:left w:w="106" w:type="dxa"/>
          <w:right w:w="51" w:type="dxa"/>
        </w:tblCellMar>
        <w:tblLook w:val="04A0" w:firstRow="1" w:lastRow="0" w:firstColumn="1" w:lastColumn="0" w:noHBand="0" w:noVBand="1"/>
      </w:tblPr>
      <w:tblGrid>
        <w:gridCol w:w="4661"/>
        <w:gridCol w:w="884"/>
        <w:gridCol w:w="1381"/>
        <w:gridCol w:w="4400"/>
      </w:tblGrid>
      <w:tr w:rsidR="00C05E15" w14:paraId="6052575E" w14:textId="77777777">
        <w:trPr>
          <w:trHeight w:val="316"/>
        </w:trPr>
        <w:tc>
          <w:tcPr>
            <w:tcW w:w="113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DF3"/>
          </w:tcPr>
          <w:p w14:paraId="35678B28" w14:textId="5A95AE53" w:rsidR="00C05E15" w:rsidRPr="00064171" w:rsidRDefault="00A350D5">
            <w:pPr>
              <w:ind w:left="4"/>
              <w:rPr>
                <w:b/>
                <w:bCs/>
              </w:rPr>
            </w:pPr>
            <w:r w:rsidRPr="003F17D3">
              <w:rPr>
                <w:rFonts w:ascii="Arial" w:eastAsia="Arial" w:hAnsi="Arial" w:cs="Arial"/>
                <w:b/>
                <w:bCs/>
                <w:sz w:val="20"/>
              </w:rPr>
              <w:t>T</w:t>
            </w:r>
            <w:r w:rsidR="000F3524" w:rsidRPr="00064171">
              <w:rPr>
                <w:rFonts w:ascii="Arial" w:eastAsia="Arial" w:hAnsi="Arial" w:cs="Arial"/>
                <w:b/>
                <w:bCs/>
                <w:sz w:val="20"/>
              </w:rPr>
              <w:t>abulka</w:t>
            </w:r>
            <w:r w:rsidRPr="00064171">
              <w:rPr>
                <w:rFonts w:ascii="Arial" w:eastAsia="Arial" w:hAnsi="Arial" w:cs="Arial"/>
                <w:b/>
                <w:bCs/>
                <w:sz w:val="20"/>
              </w:rPr>
              <w:t xml:space="preserve">: </w:t>
            </w:r>
            <w:r w:rsidR="00013145">
              <w:rPr>
                <w:rFonts w:ascii="Arial" w:eastAsia="Arial" w:hAnsi="Arial" w:cs="Arial"/>
                <w:b/>
                <w:bCs/>
                <w:sz w:val="20"/>
              </w:rPr>
              <w:t>S</w:t>
            </w:r>
            <w:r w:rsidRPr="00064171">
              <w:rPr>
                <w:rFonts w:ascii="Arial" w:eastAsia="Arial" w:hAnsi="Arial" w:cs="Arial"/>
                <w:b/>
                <w:bCs/>
                <w:sz w:val="20"/>
              </w:rPr>
              <w:t xml:space="preserve">ouhrn </w:t>
            </w:r>
            <w:r w:rsidR="00222C0F">
              <w:rPr>
                <w:rFonts w:ascii="Arial" w:eastAsia="Arial" w:hAnsi="Arial" w:cs="Arial"/>
                <w:b/>
                <w:bCs/>
                <w:sz w:val="20"/>
              </w:rPr>
              <w:t xml:space="preserve">posouzení interoperability </w:t>
            </w:r>
          </w:p>
        </w:tc>
      </w:tr>
      <w:tr w:rsidR="00C05E15" w14:paraId="1335C087" w14:textId="77777777" w:rsidTr="004730E8">
        <w:trPr>
          <w:trHeight w:val="620"/>
        </w:trPr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DF3"/>
          </w:tcPr>
          <w:p w14:paraId="51EEA92F" w14:textId="4E7CA6AC" w:rsidR="00C05E15" w:rsidRDefault="004A2000">
            <w:pPr>
              <w:ind w:left="4"/>
            </w:pPr>
            <w:r>
              <w:rPr>
                <w:rFonts w:ascii="Arial" w:eastAsia="Arial" w:hAnsi="Arial" w:cs="Arial"/>
                <w:b/>
                <w:sz w:val="20"/>
              </w:rPr>
              <w:t>Položka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DF3"/>
          </w:tcPr>
          <w:p w14:paraId="4BDD4977" w14:textId="77777777" w:rsidR="00C05E15" w:rsidRDefault="00BE6364">
            <w:r>
              <w:rPr>
                <w:rFonts w:ascii="Arial" w:eastAsia="Arial" w:hAnsi="Arial" w:cs="Arial"/>
                <w:b/>
                <w:sz w:val="20"/>
              </w:rPr>
              <w:t xml:space="preserve">Vyberte 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DF3"/>
          </w:tcPr>
          <w:p w14:paraId="6814DC41" w14:textId="1F12E2DD" w:rsidR="00C05E15" w:rsidRDefault="00BE6364" w:rsidP="00E81CED">
            <w:r>
              <w:rPr>
                <w:rFonts w:ascii="Arial" w:eastAsia="Arial" w:hAnsi="Arial" w:cs="Arial"/>
                <w:b/>
                <w:sz w:val="20"/>
              </w:rPr>
              <w:t xml:space="preserve">Č. žádosti o výjimku 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DF3"/>
          </w:tcPr>
          <w:p w14:paraId="03529BF5" w14:textId="77777777" w:rsidR="00C05E15" w:rsidRDefault="00BE6364">
            <w:r>
              <w:rPr>
                <w:rFonts w:ascii="Arial" w:eastAsia="Arial" w:hAnsi="Arial" w:cs="Arial"/>
                <w:b/>
                <w:sz w:val="20"/>
              </w:rPr>
              <w:t xml:space="preserve">Vysvětlete </w:t>
            </w:r>
          </w:p>
        </w:tc>
      </w:tr>
      <w:tr w:rsidR="00E3193D" w14:paraId="70F9BF54" w14:textId="77777777" w:rsidTr="004730E8">
        <w:trPr>
          <w:trHeight w:val="557"/>
        </w:trPr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027A934" w14:textId="275BF4B1" w:rsidR="00E3193D" w:rsidRDefault="00D14737" w:rsidP="00E3193D">
            <w:pPr>
              <w:ind w:left="4"/>
            </w:pPr>
            <w:r>
              <w:t xml:space="preserve">Je umožněno uživateli služby se </w:t>
            </w:r>
            <w:r w:rsidR="009F1AA7">
              <w:t xml:space="preserve">vzdáleně </w:t>
            </w:r>
            <w:r>
              <w:t xml:space="preserve">identifikovat a autentizovat </w:t>
            </w:r>
            <w:r w:rsidR="00604B36">
              <w:t xml:space="preserve">mezinárodní bránou dle nařízení eIDAS </w:t>
            </w:r>
            <w:r w:rsidR="001D16F8">
              <w:t xml:space="preserve">ve znění </w:t>
            </w:r>
            <w:hyperlink r:id="rId9" w:tooltip="Umožňuje přístup k tomuto dokumentu prostřednictvím URI podle specifikací ELI." w:history="1">
              <w:r w:rsidR="009F1AA7" w:rsidRPr="009F1AA7">
                <w:rPr>
                  <w:rStyle w:val="Hypertextovodkaz"/>
                </w:rPr>
                <w:t>http://data.europa.eu/eli/reg/2024/1183/oj</w:t>
              </w:r>
            </w:hyperlink>
            <w:r w:rsidR="00F221ED">
              <w:t>?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2F62C" w14:textId="19AC75FD" w:rsidR="00E3193D" w:rsidRDefault="002F08E2" w:rsidP="00E3193D">
            <w:sdt>
              <w:sdtPr>
                <w:rPr>
                  <w:rFonts w:cs="Arial"/>
                  <w:b/>
                </w:rPr>
                <w:id w:val="815999225"/>
                <w:comboBox>
                  <w:listItem w:displayText="Ano" w:value="Ano"/>
                  <w:listItem w:displayText="Nerelevantní" w:value="Nerelevantní"/>
                  <w:listItem w:displayText="Ne, žádáme o výjimku" w:value="Ne, žádáme o výjimku"/>
                </w:comboBox>
              </w:sdtPr>
              <w:sdtEndPr/>
              <w:sdtContent>
                <w:r w:rsidR="00D12F7E">
                  <w:rPr>
                    <w:rFonts w:cs="Arial"/>
                    <w:b/>
                  </w:rPr>
                  <w:t>Ano</w:t>
                </w:r>
              </w:sdtContent>
            </w:sdt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ADE5D" w14:textId="77777777" w:rsidR="00E3193D" w:rsidRDefault="00E3193D" w:rsidP="00E3193D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14A3D" w14:textId="664610ED" w:rsidR="00E3193D" w:rsidRPr="00064171" w:rsidRDefault="004343E9" w:rsidP="00E3193D">
            <w:pPr>
              <w:ind w:right="55"/>
              <w:jc w:val="both"/>
              <w:rPr>
                <w:i/>
                <w:iCs/>
              </w:rPr>
            </w:pPr>
            <w:r w:rsidRPr="00064171">
              <w:rPr>
                <w:i/>
                <w:iCs/>
              </w:rPr>
              <w:t xml:space="preserve">„Při volbě </w:t>
            </w:r>
            <w:r w:rsidR="00C140E9">
              <w:rPr>
                <w:i/>
                <w:iCs/>
              </w:rPr>
              <w:t>N</w:t>
            </w:r>
            <w:r w:rsidR="00026AAA">
              <w:rPr>
                <w:i/>
                <w:iCs/>
              </w:rPr>
              <w:t>erelevantní</w:t>
            </w:r>
            <w:r w:rsidRPr="00064171">
              <w:rPr>
                <w:i/>
                <w:iCs/>
              </w:rPr>
              <w:t xml:space="preserve"> popište </w:t>
            </w:r>
            <w:r w:rsidR="00675CA6" w:rsidRPr="00064171">
              <w:rPr>
                <w:i/>
                <w:iCs/>
              </w:rPr>
              <w:t>odůvodnění</w:t>
            </w:r>
            <w:r w:rsidR="00C140E9">
              <w:rPr>
                <w:i/>
                <w:iCs/>
              </w:rPr>
              <w:t xml:space="preserve">. Např. </w:t>
            </w:r>
            <w:r w:rsidR="00026AAA">
              <w:rPr>
                <w:i/>
                <w:iCs/>
              </w:rPr>
              <w:t xml:space="preserve">dle </w:t>
            </w:r>
            <w:r w:rsidR="007C440C">
              <w:rPr>
                <w:i/>
                <w:iCs/>
              </w:rPr>
              <w:t>přechodných ustanovení zákona</w:t>
            </w:r>
            <w:r w:rsidR="00675CA6" w:rsidRPr="00064171">
              <w:rPr>
                <w:i/>
                <w:iCs/>
              </w:rPr>
              <w:t>“</w:t>
            </w:r>
            <w:r w:rsidR="00D12F7E">
              <w:rPr>
                <w:i/>
                <w:iCs/>
              </w:rPr>
              <w:t>.</w:t>
            </w:r>
          </w:p>
        </w:tc>
      </w:tr>
      <w:tr w:rsidR="00515127" w14:paraId="2906FAD8" w14:textId="77777777" w:rsidTr="004730E8">
        <w:trPr>
          <w:trHeight w:val="557"/>
        </w:trPr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E1BAEB8" w14:textId="12141450" w:rsidR="00515127" w:rsidRDefault="00CD5C86" w:rsidP="00E3193D">
            <w:pPr>
              <w:ind w:left="4"/>
            </w:pPr>
            <w:r>
              <w:t xml:space="preserve">Je </w:t>
            </w:r>
            <w:r w:rsidR="004E392B">
              <w:t>interakce</w:t>
            </w:r>
            <w:r w:rsidR="005F6049">
              <w:t xml:space="preserve"> dotčeného ISVS s přeshraničním systémem realizována pomocí </w:t>
            </w:r>
            <w:r w:rsidR="007D23E8">
              <w:t>stavební</w:t>
            </w:r>
            <w:r w:rsidR="00B00D08">
              <w:t>ho bloku</w:t>
            </w:r>
            <w:r w:rsidR="005F6049">
              <w:t xml:space="preserve"> </w:t>
            </w:r>
            <w:r w:rsidR="004E392B">
              <w:t xml:space="preserve">EU </w:t>
            </w:r>
            <w:r w:rsidR="005F6049">
              <w:t>eDelivery</w:t>
            </w:r>
            <w:r w:rsidR="004E392B">
              <w:t xml:space="preserve"> zpřístupněným v ČR prostřednictvím systému OOTS </w:t>
            </w:r>
            <w:hyperlink r:id="rId10" w:history="1">
              <w:r w:rsidR="00CD54CC" w:rsidRPr="00374455">
                <w:rPr>
                  <w:rStyle w:val="Hypertextovodkaz"/>
                </w:rPr>
                <w:t>https://rpp-ais.egon.gov.cz/AISP/verejne/isvs/zobrazeni-isvs/24976</w:t>
              </w:r>
            </w:hyperlink>
            <w:r w:rsidR="00F221ED">
              <w:t>?</w:t>
            </w:r>
            <w:r w:rsidR="00CD54CC">
              <w:t xml:space="preserve"> </w:t>
            </w:r>
            <w:r w:rsidR="005F6049">
              <w:t xml:space="preserve"> 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A82D6" w14:textId="05A75622" w:rsidR="00515127" w:rsidRDefault="002F08E2" w:rsidP="00E3193D">
            <w:pPr>
              <w:rPr>
                <w:rFonts w:cs="Arial"/>
                <w:b/>
              </w:rPr>
            </w:pPr>
            <w:sdt>
              <w:sdtPr>
                <w:rPr>
                  <w:rFonts w:cs="Arial"/>
                  <w:b/>
                </w:rPr>
                <w:id w:val="1460305961"/>
                <w:comboBox>
                  <w:listItem w:displayText="Ano" w:value="Ano"/>
                  <w:listItem w:displayText="Nerelevantní" w:value="Nerelevantní"/>
                  <w:listItem w:displayText="Ne, žádáme o výjimku" w:value="Ne, žádáme o výjimku"/>
                </w:comboBox>
              </w:sdtPr>
              <w:sdtEndPr/>
              <w:sdtContent>
                <w:r w:rsidR="004E392B">
                  <w:rPr>
                    <w:rFonts w:cs="Arial"/>
                    <w:b/>
                  </w:rPr>
                  <w:t>Ano</w:t>
                </w:r>
              </w:sdtContent>
            </w:sdt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A3C36" w14:textId="77777777" w:rsidR="00515127" w:rsidRDefault="00515127" w:rsidP="00E3193D">
            <w:pPr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4AFBF" w14:textId="40C4A61B" w:rsidR="00515127" w:rsidRPr="00064171" w:rsidRDefault="00FA2FF9" w:rsidP="00E3193D">
            <w:pPr>
              <w:ind w:right="55"/>
              <w:jc w:val="both"/>
              <w:rPr>
                <w:i/>
                <w:iCs/>
              </w:rPr>
            </w:pPr>
            <w:r w:rsidRPr="00064171">
              <w:rPr>
                <w:i/>
                <w:iCs/>
              </w:rPr>
              <w:t xml:space="preserve">„Při volbě </w:t>
            </w:r>
            <w:r>
              <w:rPr>
                <w:i/>
                <w:iCs/>
              </w:rPr>
              <w:t>Nerelevantní</w:t>
            </w:r>
            <w:r w:rsidRPr="00064171">
              <w:rPr>
                <w:i/>
                <w:iCs/>
              </w:rPr>
              <w:t xml:space="preserve"> popište odůvodnění</w:t>
            </w:r>
            <w:r>
              <w:rPr>
                <w:i/>
                <w:iCs/>
              </w:rPr>
              <w:t>. Např. dle přechodných ustanovení zákona</w:t>
            </w:r>
            <w:r w:rsidRPr="00064171">
              <w:rPr>
                <w:i/>
                <w:iCs/>
              </w:rPr>
              <w:t>“</w:t>
            </w:r>
            <w:r>
              <w:rPr>
                <w:i/>
                <w:iCs/>
              </w:rPr>
              <w:t>.</w:t>
            </w:r>
          </w:p>
        </w:tc>
      </w:tr>
      <w:tr w:rsidR="001A0312" w14:paraId="670661CB" w14:textId="77777777" w:rsidTr="004730E8">
        <w:trPr>
          <w:trHeight w:val="530"/>
        </w:trPr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82DEA0F" w14:textId="320C0477" w:rsidR="001A0312" w:rsidRDefault="000447DE" w:rsidP="001A0312">
            <w:pPr>
              <w:ind w:left="4"/>
            </w:pPr>
            <w:r>
              <w:t>Používáte na síťové úrovni propojení pomocí sítě TESTA-ng</w:t>
            </w:r>
            <w:r w:rsidR="00AD1EE3">
              <w:t xml:space="preserve"> publikované v</w:t>
            </w:r>
            <w:r w:rsidR="00F221ED">
              <w:t> </w:t>
            </w:r>
            <w:r w:rsidR="00AD1EE3">
              <w:t>CMS</w:t>
            </w:r>
            <w:r w:rsidR="00F221ED">
              <w:t>?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9148B" w14:textId="4C2BAB4A" w:rsidR="001A0312" w:rsidRDefault="002F08E2" w:rsidP="001A0312">
            <w:sdt>
              <w:sdtPr>
                <w:rPr>
                  <w:rFonts w:cs="Arial"/>
                  <w:b/>
                </w:rPr>
                <w:id w:val="-1355937"/>
                <w:comboBox>
                  <w:listItem w:displayText="Ano" w:value="Ano"/>
                  <w:listItem w:displayText="Nerelevantní" w:value="Nerelevantní"/>
                  <w:listItem w:displayText="Ne, žádáme o výjimku" w:value="Ne, žádáme o výjimku"/>
                </w:comboBox>
              </w:sdtPr>
              <w:sdtEndPr/>
              <w:sdtContent>
                <w:r w:rsidR="001A0312">
                  <w:rPr>
                    <w:rFonts w:cs="Arial"/>
                    <w:b/>
                  </w:rPr>
                  <w:t>Ano</w:t>
                </w:r>
              </w:sdtContent>
            </w:sdt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60332" w14:textId="77777777" w:rsidR="001A0312" w:rsidRDefault="001A0312" w:rsidP="001A0312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561D1" w14:textId="7C500584" w:rsidR="001A0312" w:rsidRDefault="001A0312" w:rsidP="001A0312">
            <w:pPr>
              <w:jc w:val="both"/>
            </w:pPr>
            <w:r w:rsidRPr="00983A05">
              <w:rPr>
                <w:i/>
                <w:iCs/>
              </w:rPr>
              <w:t>„Při volbě Nerelevantní popište odůvodnění. Např. dle přechodných ustanovení zákona“.</w:t>
            </w:r>
          </w:p>
        </w:tc>
      </w:tr>
      <w:tr w:rsidR="001A0312" w14:paraId="1F4C9429" w14:textId="77777777" w:rsidTr="004730E8">
        <w:trPr>
          <w:trHeight w:val="1213"/>
        </w:trPr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AE2A4E6" w14:textId="22144302" w:rsidR="00796C80" w:rsidRDefault="00796C80" w:rsidP="001A0312">
            <w:pPr>
              <w:ind w:left="4"/>
            </w:pPr>
            <w:r>
              <w:t xml:space="preserve">V případě, že vás systém umožnuje přijmout podání s el. </w:t>
            </w:r>
            <w:r w:rsidR="00F221ED">
              <w:t>p</w:t>
            </w:r>
            <w:r>
              <w:t xml:space="preserve">odpisem, ověřujete jeho platnost na základě </w:t>
            </w:r>
            <w:r w:rsidR="00901535">
              <w:t xml:space="preserve">důvěryhodného seznamu </w:t>
            </w:r>
            <w:r w:rsidR="000C3ECF">
              <w:t xml:space="preserve">EU zveřejněného zde </w:t>
            </w:r>
            <w:hyperlink r:id="rId11" w:history="1">
              <w:r w:rsidR="00C71221" w:rsidRPr="00374455">
                <w:rPr>
                  <w:rStyle w:val="Hypertextovodkaz"/>
                </w:rPr>
                <w:t>https://eidas.ec.europa.eu/efda/trust-services/browse/eidas/tls</w:t>
              </w:r>
            </w:hyperlink>
            <w:r w:rsidR="000C3ECF">
              <w:t xml:space="preserve"> 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D0AEE" w14:textId="2385EC24" w:rsidR="001A0312" w:rsidRDefault="002F08E2" w:rsidP="001A0312">
            <w:sdt>
              <w:sdtPr>
                <w:rPr>
                  <w:rFonts w:cs="Arial"/>
                  <w:b/>
                </w:rPr>
                <w:id w:val="632766219"/>
                <w:comboBox>
                  <w:listItem w:displayText="Ano" w:value="Ano"/>
                  <w:listItem w:displayText="Nerelevantní" w:value="Nerelevantní"/>
                  <w:listItem w:displayText="Ne, žádáme o výjimku" w:value="Ne, žádáme o výjimku"/>
                </w:comboBox>
              </w:sdtPr>
              <w:sdtEndPr/>
              <w:sdtContent>
                <w:r w:rsidR="001A0312">
                  <w:rPr>
                    <w:rFonts w:cs="Arial"/>
                    <w:b/>
                  </w:rPr>
                  <w:t>Ano</w:t>
                </w:r>
              </w:sdtContent>
            </w:sdt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94492" w14:textId="77777777" w:rsidR="001A0312" w:rsidRDefault="001A0312" w:rsidP="001A0312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87566" w14:textId="24F085C0" w:rsidR="001A0312" w:rsidRDefault="001A0312" w:rsidP="001A0312">
            <w:pPr>
              <w:ind w:right="56"/>
              <w:jc w:val="both"/>
            </w:pPr>
            <w:r w:rsidRPr="00983A05">
              <w:rPr>
                <w:i/>
                <w:iCs/>
              </w:rPr>
              <w:t>„Při volbě Nerelevantní popište odůvodnění. Např. dle přechodných ustanovení zákona“.</w:t>
            </w:r>
          </w:p>
        </w:tc>
      </w:tr>
      <w:tr w:rsidR="001A0312" w14:paraId="466EF9BB" w14:textId="77777777" w:rsidTr="004730E8">
        <w:trPr>
          <w:trHeight w:val="989"/>
        </w:trPr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7DCB505" w14:textId="4CD81188" w:rsidR="001A0312" w:rsidRDefault="00A70E11" w:rsidP="001A0312">
            <w:pPr>
              <w:ind w:left="4"/>
            </w:pPr>
            <w:r>
              <w:t>Pokud vá</w:t>
            </w:r>
            <w:r w:rsidR="00F955BB">
              <w:t>š</w:t>
            </w:r>
            <w:r>
              <w:t xml:space="preserve"> systém vede </w:t>
            </w:r>
            <w:r w:rsidR="00F955BB">
              <w:t>zdravotnickou</w:t>
            </w:r>
            <w:r>
              <w:t xml:space="preserve"> dokumentaci, p</w:t>
            </w:r>
            <w:r w:rsidR="00F81D3E">
              <w:t xml:space="preserve">oužíváte pro </w:t>
            </w:r>
            <w:r w:rsidR="009F4DE2">
              <w:t>výměnu celé nebo části zdravotnické dokumentace služby NCPeH</w:t>
            </w:r>
            <w:r w:rsidR="00F955BB">
              <w:t xml:space="preserve"> </w:t>
            </w:r>
            <w:hyperlink r:id="rId12" w:history="1">
              <w:r w:rsidR="0055526F" w:rsidRPr="00374455">
                <w:rPr>
                  <w:rStyle w:val="Hypertextovodkaz"/>
                </w:rPr>
                <w:t>https://www.nixzd.cz/</w:t>
              </w:r>
            </w:hyperlink>
            <w:r>
              <w:t>?</w:t>
            </w:r>
            <w:r w:rsidR="0055526F">
              <w:t xml:space="preserve"> 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96FA3" w14:textId="77BB3414" w:rsidR="001A0312" w:rsidRDefault="002F08E2" w:rsidP="001A0312">
            <w:sdt>
              <w:sdtPr>
                <w:rPr>
                  <w:rFonts w:cs="Arial"/>
                  <w:b/>
                </w:rPr>
                <w:id w:val="-1844156510"/>
                <w:comboBox>
                  <w:listItem w:displayText="Ano" w:value="Ano"/>
                  <w:listItem w:displayText="Nerelevantní" w:value="Nerelevantní"/>
                  <w:listItem w:displayText="Ne, žádáme o výjimku" w:value="Ne, žádáme o výjimku"/>
                </w:comboBox>
              </w:sdtPr>
              <w:sdtEndPr/>
              <w:sdtContent>
                <w:r w:rsidR="001A0312">
                  <w:rPr>
                    <w:rFonts w:cs="Arial"/>
                    <w:b/>
                  </w:rPr>
                  <w:t>Ano</w:t>
                </w:r>
              </w:sdtContent>
            </w:sdt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C8C7D" w14:textId="77777777" w:rsidR="001A0312" w:rsidRDefault="001A0312" w:rsidP="001A0312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6942A" w14:textId="3A47E6B3" w:rsidR="001A0312" w:rsidRDefault="001A0312" w:rsidP="001A0312">
            <w:pPr>
              <w:ind w:right="56"/>
              <w:jc w:val="both"/>
            </w:pPr>
            <w:r w:rsidRPr="00983A05">
              <w:rPr>
                <w:i/>
                <w:iCs/>
              </w:rPr>
              <w:t>„Při volbě Nerelevantní popište odůvodnění. Např. dle přechodných ustanovení zákona“.</w:t>
            </w:r>
          </w:p>
        </w:tc>
      </w:tr>
      <w:tr w:rsidR="00DC7E3C" w14:paraId="1C84F9C0" w14:textId="77777777" w:rsidTr="004730E8">
        <w:trPr>
          <w:trHeight w:val="528"/>
        </w:trPr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A6F591F" w14:textId="00F6B3D0" w:rsidR="00DC7E3C" w:rsidRDefault="00DC7E3C" w:rsidP="00DC7E3C">
            <w:pPr>
              <w:ind w:left="4"/>
            </w:pPr>
            <w:r>
              <w:t>Je služba dostupná ve více úředních jazycích EU?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ABA1B" w14:textId="3C281070" w:rsidR="00DC7E3C" w:rsidRDefault="002F08E2" w:rsidP="00DC7E3C">
            <w:sdt>
              <w:sdtPr>
                <w:rPr>
                  <w:rFonts w:cs="Arial"/>
                  <w:b/>
                </w:rPr>
                <w:id w:val="-1965573239"/>
                <w:comboBox>
                  <w:listItem w:displayText="Ano" w:value="Ano"/>
                  <w:listItem w:displayText="Nerelevantní" w:value="Nerelevantní"/>
                  <w:listItem w:displayText="Ne, žádáme o výjimku" w:value="Ne, žádáme o výjimku"/>
                </w:comboBox>
              </w:sdtPr>
              <w:sdtEndPr/>
              <w:sdtContent>
                <w:r w:rsidR="00DC7E3C">
                  <w:rPr>
                    <w:rFonts w:cs="Arial"/>
                    <w:b/>
                  </w:rPr>
                  <w:t>Ano</w:t>
                </w:r>
              </w:sdtContent>
            </w:sdt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247FE" w14:textId="18F0A555" w:rsidR="00DC7E3C" w:rsidRDefault="00DC7E3C" w:rsidP="00DC7E3C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0BF3B" w14:textId="63036639" w:rsidR="00DC7E3C" w:rsidRDefault="00DC7E3C" w:rsidP="00DC7E3C">
            <w:pPr>
              <w:jc w:val="both"/>
            </w:pPr>
            <w:r w:rsidRPr="00983A05">
              <w:rPr>
                <w:i/>
                <w:iCs/>
              </w:rPr>
              <w:t>„Při volbě Nerelevantní popište odůvodnění. Např. dle přechodných ustanovení zákona“.</w:t>
            </w:r>
          </w:p>
        </w:tc>
      </w:tr>
      <w:tr w:rsidR="004730E8" w14:paraId="6F9E9CED" w14:textId="77777777" w:rsidTr="004730E8">
        <w:trPr>
          <w:trHeight w:val="989"/>
        </w:trPr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46E00E2" w14:textId="7F45FFE7" w:rsidR="004730E8" w:rsidRDefault="004730E8" w:rsidP="004730E8">
            <w:pPr>
              <w:ind w:left="4"/>
            </w:pPr>
            <w:r>
              <w:lastRenderedPageBreak/>
              <w:t xml:space="preserve">Využili jste při návrhu služby referenční model interoperability EIF </w:t>
            </w:r>
            <w:hyperlink r:id="rId13" w:history="1">
              <w:r w:rsidRPr="00374455">
                <w:rPr>
                  <w:rStyle w:val="Hypertextovodkaz"/>
                </w:rPr>
                <w:t>https://eur-lex.europa.eu/legal-content/CS/TXT/HTML/?uri=CELEX:52017DC0134</w:t>
              </w:r>
            </w:hyperlink>
            <w:r>
              <w:t xml:space="preserve">? 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4B889" w14:textId="67128CE9" w:rsidR="004730E8" w:rsidRDefault="002F08E2" w:rsidP="004730E8">
            <w:sdt>
              <w:sdtPr>
                <w:rPr>
                  <w:rFonts w:cs="Arial"/>
                  <w:b/>
                </w:rPr>
                <w:id w:val="859471505"/>
                <w:comboBox>
                  <w:listItem w:displayText="Ano" w:value="Ano"/>
                  <w:listItem w:displayText="Nerelevantní" w:value="Nerelevantní"/>
                  <w:listItem w:displayText="Ne, žádáme o výjimku" w:value="Ne, žádáme o výjimku"/>
                </w:comboBox>
              </w:sdtPr>
              <w:sdtEndPr/>
              <w:sdtContent>
                <w:r w:rsidR="004730E8">
                  <w:rPr>
                    <w:rFonts w:cs="Arial"/>
                    <w:b/>
                  </w:rPr>
                  <w:t>Ano</w:t>
                </w:r>
              </w:sdtContent>
            </w:sdt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86930" w14:textId="2B2C0548" w:rsidR="004730E8" w:rsidRDefault="004730E8" w:rsidP="004730E8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8353A" w14:textId="52D366E8" w:rsidR="004730E8" w:rsidRDefault="004730E8" w:rsidP="004730E8">
            <w:pPr>
              <w:ind w:right="55"/>
              <w:jc w:val="both"/>
            </w:pPr>
            <w:r w:rsidRPr="00983A05">
              <w:rPr>
                <w:i/>
                <w:iCs/>
              </w:rPr>
              <w:t>„Při volbě Nerelevantní popište odůvodnění. Např. dle přechodných ustanovení zákona“.</w:t>
            </w:r>
          </w:p>
        </w:tc>
      </w:tr>
    </w:tbl>
    <w:p w14:paraId="64CF34CC" w14:textId="38E29B35" w:rsidR="00C05E15" w:rsidRDefault="00BE6364" w:rsidP="004E438F">
      <w:pPr>
        <w:pStyle w:val="Nadpis3"/>
        <w:tabs>
          <w:tab w:val="center" w:pos="4031"/>
        </w:tabs>
        <w:ind w:left="-15" w:firstLine="0"/>
        <w:rPr>
          <w:sz w:val="20"/>
        </w:rPr>
      </w:pPr>
      <w:r>
        <w:rPr>
          <w:sz w:val="20"/>
        </w:rPr>
        <w:t xml:space="preserve"> </w:t>
      </w:r>
    </w:p>
    <w:sectPr w:rsidR="00C05E15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footnotePr>
        <w:numRestart w:val="eachPage"/>
      </w:footnotePr>
      <w:pgSz w:w="11906" w:h="16838"/>
      <w:pgMar w:top="1149" w:right="238" w:bottom="756" w:left="295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5DC84F" w14:textId="77777777" w:rsidR="00B9018C" w:rsidRDefault="00B9018C">
      <w:pPr>
        <w:spacing w:after="0" w:line="240" w:lineRule="auto"/>
      </w:pPr>
      <w:r>
        <w:separator/>
      </w:r>
    </w:p>
  </w:endnote>
  <w:endnote w:type="continuationSeparator" w:id="0">
    <w:p w14:paraId="2E93DD7B" w14:textId="77777777" w:rsidR="00B9018C" w:rsidRDefault="00B901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5F91B0" w14:textId="77777777" w:rsidR="00C05E15" w:rsidRDefault="00BE6364">
    <w:pPr>
      <w:spacing w:after="0"/>
      <w:ind w:right="3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sz w:val="20"/>
      </w:rPr>
      <w:t>2</w:t>
    </w:r>
    <w:r>
      <w:rPr>
        <w:rFonts w:ascii="Arial" w:eastAsia="Arial" w:hAnsi="Arial" w:cs="Arial"/>
        <w:sz w:val="20"/>
      </w:rPr>
      <w:fldChar w:fldCharType="end"/>
    </w:r>
    <w:r>
      <w:rPr>
        <w:rFonts w:ascii="Arial" w:eastAsia="Arial" w:hAnsi="Arial" w:cs="Arial"/>
        <w:sz w:val="20"/>
      </w:rPr>
      <w:t xml:space="preserve"> </w:t>
    </w:r>
  </w:p>
  <w:p w14:paraId="7064E9D9" w14:textId="77777777" w:rsidR="00C05E15" w:rsidRDefault="00BE6364">
    <w:pPr>
      <w:spacing w:after="0"/>
      <w:ind w:right="-21"/>
      <w:jc w:val="right"/>
    </w:pPr>
    <w:r>
      <w:rPr>
        <w:rFonts w:ascii="Arial" w:eastAsia="Arial" w:hAnsi="Arial" w:cs="Arial"/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2E9FB6" w14:textId="77777777" w:rsidR="00C05E15" w:rsidRDefault="00BE6364">
    <w:pPr>
      <w:spacing w:after="0"/>
      <w:ind w:right="3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sz w:val="20"/>
      </w:rPr>
      <w:t>2</w:t>
    </w:r>
    <w:r>
      <w:rPr>
        <w:rFonts w:ascii="Arial" w:eastAsia="Arial" w:hAnsi="Arial" w:cs="Arial"/>
        <w:sz w:val="20"/>
      </w:rPr>
      <w:fldChar w:fldCharType="end"/>
    </w:r>
    <w:r>
      <w:rPr>
        <w:rFonts w:ascii="Arial" w:eastAsia="Arial" w:hAnsi="Arial" w:cs="Arial"/>
        <w:sz w:val="20"/>
      </w:rPr>
      <w:t xml:space="preserve"> </w:t>
    </w:r>
  </w:p>
  <w:p w14:paraId="6DB1EDAB" w14:textId="77777777" w:rsidR="00C05E15" w:rsidRDefault="00BE6364">
    <w:pPr>
      <w:spacing w:after="0"/>
      <w:ind w:right="-21"/>
      <w:jc w:val="right"/>
    </w:pPr>
    <w:r>
      <w:rPr>
        <w:rFonts w:ascii="Arial" w:eastAsia="Arial" w:hAnsi="Arial" w:cs="Arial"/>
        <w:sz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1DE361" w14:textId="77777777" w:rsidR="00C05E15" w:rsidRDefault="00C05E1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8903B1" w14:textId="77777777" w:rsidR="00B9018C" w:rsidRDefault="00B9018C">
      <w:pPr>
        <w:spacing w:after="0"/>
      </w:pPr>
      <w:r>
        <w:separator/>
      </w:r>
    </w:p>
  </w:footnote>
  <w:footnote w:type="continuationSeparator" w:id="0">
    <w:p w14:paraId="1996495B" w14:textId="77777777" w:rsidR="00B9018C" w:rsidRDefault="00B9018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C35644" w14:textId="77777777" w:rsidR="00C05E15" w:rsidRDefault="00BE6364">
    <w:pPr>
      <w:spacing w:after="0"/>
      <w:ind w:left="19"/>
    </w:pPr>
    <w:r>
      <w:rPr>
        <w:noProof/>
      </w:rPr>
      <w:drawing>
        <wp:anchor distT="0" distB="0" distL="114300" distR="114300" simplePos="0" relativeHeight="251658240" behindDoc="0" locked="0" layoutInCell="1" allowOverlap="0" wp14:anchorId="6AAA3DD8" wp14:editId="20138400">
          <wp:simplePos x="0" y="0"/>
          <wp:positionH relativeFrom="page">
            <wp:posOffset>199439</wp:posOffset>
          </wp:positionH>
          <wp:positionV relativeFrom="page">
            <wp:posOffset>469314</wp:posOffset>
          </wp:positionV>
          <wp:extent cx="1418301" cy="315595"/>
          <wp:effectExtent l="0" t="0" r="0" b="0"/>
          <wp:wrapSquare wrapText="bothSides"/>
          <wp:docPr id="99" name="Picture 9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9" name="Picture 9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18301" cy="3155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eastAsia="Arial" w:hAnsi="Arial" w:cs="Arial"/>
        <w:sz w:val="20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7D54D7" w14:textId="77777777" w:rsidR="00C05E15" w:rsidRDefault="00BE6364">
    <w:pPr>
      <w:spacing w:after="0"/>
      <w:ind w:left="19"/>
    </w:pPr>
    <w:r>
      <w:rPr>
        <w:noProof/>
      </w:rPr>
      <w:drawing>
        <wp:anchor distT="0" distB="0" distL="114300" distR="114300" simplePos="0" relativeHeight="251659264" behindDoc="0" locked="0" layoutInCell="1" allowOverlap="0" wp14:anchorId="27BBC97F" wp14:editId="6A2DCA47">
          <wp:simplePos x="0" y="0"/>
          <wp:positionH relativeFrom="page">
            <wp:posOffset>199439</wp:posOffset>
          </wp:positionH>
          <wp:positionV relativeFrom="page">
            <wp:posOffset>469314</wp:posOffset>
          </wp:positionV>
          <wp:extent cx="1418301" cy="315595"/>
          <wp:effectExtent l="0" t="0" r="0" b="0"/>
          <wp:wrapSquare wrapText="bothSides"/>
          <wp:docPr id="1251237328" name="Picture 9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9" name="Picture 9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18301" cy="3155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eastAsia="Arial" w:hAnsi="Arial" w:cs="Arial"/>
        <w:sz w:val="20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2EC6AE" w14:textId="77777777" w:rsidR="00C05E15" w:rsidRDefault="00C05E1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644E4"/>
    <w:multiLevelType w:val="multilevel"/>
    <w:tmpl w:val="36247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E51F90"/>
    <w:multiLevelType w:val="hybridMultilevel"/>
    <w:tmpl w:val="04D6DF1E"/>
    <w:lvl w:ilvl="0" w:tplc="296EAF66">
      <w:start w:val="1"/>
      <w:numFmt w:val="bullet"/>
      <w:lvlText w:val="•"/>
      <w:lvlJc w:val="left"/>
      <w:pPr>
        <w:ind w:left="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2FAEFA6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E649434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8908D5C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6BECEF2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7346C3A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7AAEB3A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0060C28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BA03210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7091D84"/>
    <w:multiLevelType w:val="hybridMultilevel"/>
    <w:tmpl w:val="0E927560"/>
    <w:lvl w:ilvl="0" w:tplc="54664F8E">
      <w:start w:val="1"/>
      <w:numFmt w:val="bullet"/>
      <w:lvlText w:val="•"/>
      <w:lvlJc w:val="left"/>
      <w:pPr>
        <w:ind w:left="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C3CAA96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C8ECD98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81689A6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72E3E0E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086D432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981120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A84A73E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6C4E0A6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0C340E3"/>
    <w:multiLevelType w:val="multilevel"/>
    <w:tmpl w:val="14541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10305F"/>
    <w:multiLevelType w:val="multilevel"/>
    <w:tmpl w:val="C2503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D422093"/>
    <w:multiLevelType w:val="multilevel"/>
    <w:tmpl w:val="CEB6D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2681AB6"/>
    <w:multiLevelType w:val="hybridMultilevel"/>
    <w:tmpl w:val="DB387FEA"/>
    <w:lvl w:ilvl="0" w:tplc="D5EA1AEA">
      <w:start w:val="1"/>
      <w:numFmt w:val="bullet"/>
      <w:lvlText w:val="§"/>
      <w:lvlJc w:val="left"/>
      <w:pPr>
        <w:ind w:left="216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43E7D56">
      <w:start w:val="1"/>
      <w:numFmt w:val="bullet"/>
      <w:lvlText w:val="o"/>
      <w:lvlJc w:val="left"/>
      <w:pPr>
        <w:ind w:left="298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38E835C">
      <w:start w:val="1"/>
      <w:numFmt w:val="bullet"/>
      <w:lvlText w:val="▪"/>
      <w:lvlJc w:val="left"/>
      <w:pPr>
        <w:ind w:left="370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424C5E8">
      <w:start w:val="1"/>
      <w:numFmt w:val="bullet"/>
      <w:lvlText w:val="•"/>
      <w:lvlJc w:val="left"/>
      <w:pPr>
        <w:ind w:left="442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04C9626">
      <w:start w:val="1"/>
      <w:numFmt w:val="bullet"/>
      <w:lvlText w:val="o"/>
      <w:lvlJc w:val="left"/>
      <w:pPr>
        <w:ind w:left="514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C62DB7A">
      <w:start w:val="1"/>
      <w:numFmt w:val="bullet"/>
      <w:lvlText w:val="▪"/>
      <w:lvlJc w:val="left"/>
      <w:pPr>
        <w:ind w:left="586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728CFFA">
      <w:start w:val="1"/>
      <w:numFmt w:val="bullet"/>
      <w:lvlText w:val="•"/>
      <w:lvlJc w:val="left"/>
      <w:pPr>
        <w:ind w:left="658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C2258FC">
      <w:start w:val="1"/>
      <w:numFmt w:val="bullet"/>
      <w:lvlText w:val="o"/>
      <w:lvlJc w:val="left"/>
      <w:pPr>
        <w:ind w:left="730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DE2D7FE">
      <w:start w:val="1"/>
      <w:numFmt w:val="bullet"/>
      <w:lvlText w:val="▪"/>
      <w:lvlJc w:val="left"/>
      <w:pPr>
        <w:ind w:left="802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28614E6"/>
    <w:multiLevelType w:val="hybridMultilevel"/>
    <w:tmpl w:val="010C7134"/>
    <w:lvl w:ilvl="0" w:tplc="4BFA0764">
      <w:start w:val="1"/>
      <w:numFmt w:val="bullet"/>
      <w:lvlText w:val="•"/>
      <w:lvlJc w:val="left"/>
      <w:pPr>
        <w:ind w:left="4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9987FB0">
      <w:start w:val="1"/>
      <w:numFmt w:val="bullet"/>
      <w:lvlText w:val="o"/>
      <w:lvlJc w:val="left"/>
      <w:pPr>
        <w:ind w:left="11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94A4528">
      <w:start w:val="1"/>
      <w:numFmt w:val="bullet"/>
      <w:lvlText w:val="▪"/>
      <w:lvlJc w:val="left"/>
      <w:pPr>
        <w:ind w:left="18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85A7440">
      <w:start w:val="1"/>
      <w:numFmt w:val="bullet"/>
      <w:lvlText w:val="•"/>
      <w:lvlJc w:val="left"/>
      <w:pPr>
        <w:ind w:left="25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5C64E80">
      <w:start w:val="1"/>
      <w:numFmt w:val="bullet"/>
      <w:lvlText w:val="o"/>
      <w:lvlJc w:val="left"/>
      <w:pPr>
        <w:ind w:left="33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0489610">
      <w:start w:val="1"/>
      <w:numFmt w:val="bullet"/>
      <w:lvlText w:val="▪"/>
      <w:lvlJc w:val="left"/>
      <w:pPr>
        <w:ind w:left="40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74EA222">
      <w:start w:val="1"/>
      <w:numFmt w:val="bullet"/>
      <w:lvlText w:val="•"/>
      <w:lvlJc w:val="left"/>
      <w:pPr>
        <w:ind w:left="47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8BC62DE">
      <w:start w:val="1"/>
      <w:numFmt w:val="bullet"/>
      <w:lvlText w:val="o"/>
      <w:lvlJc w:val="left"/>
      <w:pPr>
        <w:ind w:left="54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C8C82AC">
      <w:start w:val="1"/>
      <w:numFmt w:val="bullet"/>
      <w:lvlText w:val="▪"/>
      <w:lvlJc w:val="left"/>
      <w:pPr>
        <w:ind w:left="61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4A4666B"/>
    <w:multiLevelType w:val="hybridMultilevel"/>
    <w:tmpl w:val="C6FC692E"/>
    <w:lvl w:ilvl="0" w:tplc="7E980278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C7012AC">
      <w:start w:val="1"/>
      <w:numFmt w:val="bullet"/>
      <w:lvlText w:val="o"/>
      <w:lvlJc w:val="left"/>
      <w:pPr>
        <w:ind w:left="15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9F25A2A">
      <w:start w:val="1"/>
      <w:numFmt w:val="bullet"/>
      <w:lvlText w:val="▪"/>
      <w:lvlJc w:val="left"/>
      <w:pPr>
        <w:ind w:left="22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74C52DE">
      <w:start w:val="1"/>
      <w:numFmt w:val="bullet"/>
      <w:lvlText w:val="•"/>
      <w:lvlJc w:val="left"/>
      <w:pPr>
        <w:ind w:left="29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33C4F4C">
      <w:start w:val="1"/>
      <w:numFmt w:val="bullet"/>
      <w:lvlText w:val="o"/>
      <w:lvlJc w:val="left"/>
      <w:pPr>
        <w:ind w:left="37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CA6366A">
      <w:start w:val="1"/>
      <w:numFmt w:val="bullet"/>
      <w:lvlText w:val="▪"/>
      <w:lvlJc w:val="left"/>
      <w:pPr>
        <w:ind w:left="44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2EC2E1E">
      <w:start w:val="1"/>
      <w:numFmt w:val="bullet"/>
      <w:lvlText w:val="•"/>
      <w:lvlJc w:val="left"/>
      <w:pPr>
        <w:ind w:left="51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200B492">
      <w:start w:val="1"/>
      <w:numFmt w:val="bullet"/>
      <w:lvlText w:val="o"/>
      <w:lvlJc w:val="left"/>
      <w:pPr>
        <w:ind w:left="58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7440A36">
      <w:start w:val="1"/>
      <w:numFmt w:val="bullet"/>
      <w:lvlText w:val="▪"/>
      <w:lvlJc w:val="left"/>
      <w:pPr>
        <w:ind w:left="65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7F06956"/>
    <w:multiLevelType w:val="hybridMultilevel"/>
    <w:tmpl w:val="CE1CB568"/>
    <w:lvl w:ilvl="0" w:tplc="FD6CDE72">
      <w:start w:val="1"/>
      <w:numFmt w:val="bullet"/>
      <w:lvlText w:val="•"/>
      <w:lvlJc w:val="left"/>
      <w:pPr>
        <w:ind w:left="3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728C688">
      <w:start w:val="1"/>
      <w:numFmt w:val="bullet"/>
      <w:lvlText w:val="o"/>
      <w:lvlJc w:val="left"/>
      <w:pPr>
        <w:ind w:left="1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4C84FBA">
      <w:start w:val="1"/>
      <w:numFmt w:val="bullet"/>
      <w:lvlText w:val="▪"/>
      <w:lvlJc w:val="left"/>
      <w:pPr>
        <w:ind w:left="19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1A03C4C">
      <w:start w:val="1"/>
      <w:numFmt w:val="bullet"/>
      <w:lvlText w:val="•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C74C626">
      <w:start w:val="1"/>
      <w:numFmt w:val="bullet"/>
      <w:lvlText w:val="o"/>
      <w:lvlJc w:val="left"/>
      <w:pPr>
        <w:ind w:left="33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40200D2">
      <w:start w:val="1"/>
      <w:numFmt w:val="bullet"/>
      <w:lvlText w:val="▪"/>
      <w:lvlJc w:val="left"/>
      <w:pPr>
        <w:ind w:left="40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AE2EBDA">
      <w:start w:val="1"/>
      <w:numFmt w:val="bullet"/>
      <w:lvlText w:val="•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DE07642">
      <w:start w:val="1"/>
      <w:numFmt w:val="bullet"/>
      <w:lvlText w:val="o"/>
      <w:lvlJc w:val="left"/>
      <w:pPr>
        <w:ind w:left="5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E1CEB42">
      <w:start w:val="1"/>
      <w:numFmt w:val="bullet"/>
      <w:lvlText w:val="▪"/>
      <w:lvlJc w:val="left"/>
      <w:pPr>
        <w:ind w:left="62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E8308B2"/>
    <w:multiLevelType w:val="hybridMultilevel"/>
    <w:tmpl w:val="AB7C44DA"/>
    <w:lvl w:ilvl="0" w:tplc="D908A078">
      <w:start w:val="1"/>
      <w:numFmt w:val="bullet"/>
      <w:lvlText w:val="•"/>
      <w:lvlJc w:val="left"/>
      <w:pPr>
        <w:ind w:left="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3105BDA">
      <w:start w:val="1"/>
      <w:numFmt w:val="bullet"/>
      <w:lvlText w:val="o"/>
      <w:lvlJc w:val="left"/>
      <w:pPr>
        <w:ind w:left="11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D4202B6">
      <w:start w:val="1"/>
      <w:numFmt w:val="bullet"/>
      <w:lvlText w:val="▪"/>
      <w:lvlJc w:val="left"/>
      <w:pPr>
        <w:ind w:left="18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B72A6A8">
      <w:start w:val="1"/>
      <w:numFmt w:val="bullet"/>
      <w:lvlText w:val="•"/>
      <w:lvlJc w:val="left"/>
      <w:pPr>
        <w:ind w:left="25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D3AE732">
      <w:start w:val="1"/>
      <w:numFmt w:val="bullet"/>
      <w:lvlText w:val="o"/>
      <w:lvlJc w:val="left"/>
      <w:pPr>
        <w:ind w:left="33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8F6F124">
      <w:start w:val="1"/>
      <w:numFmt w:val="bullet"/>
      <w:lvlText w:val="▪"/>
      <w:lvlJc w:val="left"/>
      <w:pPr>
        <w:ind w:left="40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FD6517C">
      <w:start w:val="1"/>
      <w:numFmt w:val="bullet"/>
      <w:lvlText w:val="•"/>
      <w:lvlJc w:val="left"/>
      <w:pPr>
        <w:ind w:left="47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8F605A8">
      <w:start w:val="1"/>
      <w:numFmt w:val="bullet"/>
      <w:lvlText w:val="o"/>
      <w:lvlJc w:val="left"/>
      <w:pPr>
        <w:ind w:left="54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8DA3158">
      <w:start w:val="1"/>
      <w:numFmt w:val="bullet"/>
      <w:lvlText w:val="▪"/>
      <w:lvlJc w:val="left"/>
      <w:pPr>
        <w:ind w:left="61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2BA4B55"/>
    <w:multiLevelType w:val="hybridMultilevel"/>
    <w:tmpl w:val="84AC5DA0"/>
    <w:lvl w:ilvl="0" w:tplc="17EABB7C">
      <w:start w:val="32"/>
      <w:numFmt w:val="decimal"/>
      <w:lvlText w:val="%1"/>
      <w:lvlJc w:val="left"/>
      <w:pPr>
        <w:ind w:left="350"/>
      </w:pPr>
      <w:rPr>
        <w:rFonts w:ascii="Arial" w:eastAsia="Arial" w:hAnsi="Arial" w:cs="Arial"/>
        <w:b w:val="0"/>
        <w:i w:val="0"/>
        <w:strike w:val="0"/>
        <w:dstrike w:val="0"/>
        <w:color w:val="0000FF"/>
        <w:sz w:val="20"/>
        <w:szCs w:val="20"/>
        <w:u w:val="single" w:color="0000FF"/>
        <w:bdr w:val="none" w:sz="0" w:space="0" w:color="auto"/>
        <w:shd w:val="clear" w:color="auto" w:fill="auto"/>
        <w:vertAlign w:val="baseline"/>
      </w:rPr>
    </w:lvl>
    <w:lvl w:ilvl="1" w:tplc="338AA2CC">
      <w:start w:val="1"/>
      <w:numFmt w:val="lowerLetter"/>
      <w:lvlText w:val="%2"/>
      <w:lvlJc w:val="left"/>
      <w:pPr>
        <w:ind w:left="1152"/>
      </w:pPr>
      <w:rPr>
        <w:rFonts w:ascii="Arial" w:eastAsia="Arial" w:hAnsi="Arial" w:cs="Arial"/>
        <w:b w:val="0"/>
        <w:i w:val="0"/>
        <w:strike w:val="0"/>
        <w:dstrike w:val="0"/>
        <w:color w:val="0000FF"/>
        <w:sz w:val="20"/>
        <w:szCs w:val="20"/>
        <w:u w:val="single" w:color="0000FF"/>
        <w:bdr w:val="none" w:sz="0" w:space="0" w:color="auto"/>
        <w:shd w:val="clear" w:color="auto" w:fill="auto"/>
        <w:vertAlign w:val="baseline"/>
      </w:rPr>
    </w:lvl>
    <w:lvl w:ilvl="2" w:tplc="E33C1DB2">
      <w:start w:val="1"/>
      <w:numFmt w:val="lowerRoman"/>
      <w:lvlText w:val="%3"/>
      <w:lvlJc w:val="left"/>
      <w:pPr>
        <w:ind w:left="1872"/>
      </w:pPr>
      <w:rPr>
        <w:rFonts w:ascii="Arial" w:eastAsia="Arial" w:hAnsi="Arial" w:cs="Arial"/>
        <w:b w:val="0"/>
        <w:i w:val="0"/>
        <w:strike w:val="0"/>
        <w:dstrike w:val="0"/>
        <w:color w:val="0000FF"/>
        <w:sz w:val="20"/>
        <w:szCs w:val="20"/>
        <w:u w:val="single" w:color="0000FF"/>
        <w:bdr w:val="none" w:sz="0" w:space="0" w:color="auto"/>
        <w:shd w:val="clear" w:color="auto" w:fill="auto"/>
        <w:vertAlign w:val="baseline"/>
      </w:rPr>
    </w:lvl>
    <w:lvl w:ilvl="3" w:tplc="846C8BD0">
      <w:start w:val="1"/>
      <w:numFmt w:val="decimal"/>
      <w:lvlText w:val="%4"/>
      <w:lvlJc w:val="left"/>
      <w:pPr>
        <w:ind w:left="2592"/>
      </w:pPr>
      <w:rPr>
        <w:rFonts w:ascii="Arial" w:eastAsia="Arial" w:hAnsi="Arial" w:cs="Arial"/>
        <w:b w:val="0"/>
        <w:i w:val="0"/>
        <w:strike w:val="0"/>
        <w:dstrike w:val="0"/>
        <w:color w:val="0000FF"/>
        <w:sz w:val="20"/>
        <w:szCs w:val="20"/>
        <w:u w:val="single" w:color="0000FF"/>
        <w:bdr w:val="none" w:sz="0" w:space="0" w:color="auto"/>
        <w:shd w:val="clear" w:color="auto" w:fill="auto"/>
        <w:vertAlign w:val="baseline"/>
      </w:rPr>
    </w:lvl>
    <w:lvl w:ilvl="4" w:tplc="1922A1BA">
      <w:start w:val="1"/>
      <w:numFmt w:val="lowerLetter"/>
      <w:lvlText w:val="%5"/>
      <w:lvlJc w:val="left"/>
      <w:pPr>
        <w:ind w:left="3312"/>
      </w:pPr>
      <w:rPr>
        <w:rFonts w:ascii="Arial" w:eastAsia="Arial" w:hAnsi="Arial" w:cs="Arial"/>
        <w:b w:val="0"/>
        <w:i w:val="0"/>
        <w:strike w:val="0"/>
        <w:dstrike w:val="0"/>
        <w:color w:val="0000FF"/>
        <w:sz w:val="20"/>
        <w:szCs w:val="20"/>
        <w:u w:val="single" w:color="0000FF"/>
        <w:bdr w:val="none" w:sz="0" w:space="0" w:color="auto"/>
        <w:shd w:val="clear" w:color="auto" w:fill="auto"/>
        <w:vertAlign w:val="baseline"/>
      </w:rPr>
    </w:lvl>
    <w:lvl w:ilvl="5" w:tplc="DCEA78D8">
      <w:start w:val="1"/>
      <w:numFmt w:val="lowerRoman"/>
      <w:lvlText w:val="%6"/>
      <w:lvlJc w:val="left"/>
      <w:pPr>
        <w:ind w:left="4032"/>
      </w:pPr>
      <w:rPr>
        <w:rFonts w:ascii="Arial" w:eastAsia="Arial" w:hAnsi="Arial" w:cs="Arial"/>
        <w:b w:val="0"/>
        <w:i w:val="0"/>
        <w:strike w:val="0"/>
        <w:dstrike w:val="0"/>
        <w:color w:val="0000FF"/>
        <w:sz w:val="20"/>
        <w:szCs w:val="20"/>
        <w:u w:val="single" w:color="0000FF"/>
        <w:bdr w:val="none" w:sz="0" w:space="0" w:color="auto"/>
        <w:shd w:val="clear" w:color="auto" w:fill="auto"/>
        <w:vertAlign w:val="baseline"/>
      </w:rPr>
    </w:lvl>
    <w:lvl w:ilvl="6" w:tplc="726C3D36">
      <w:start w:val="1"/>
      <w:numFmt w:val="decimal"/>
      <w:lvlText w:val="%7"/>
      <w:lvlJc w:val="left"/>
      <w:pPr>
        <w:ind w:left="4752"/>
      </w:pPr>
      <w:rPr>
        <w:rFonts w:ascii="Arial" w:eastAsia="Arial" w:hAnsi="Arial" w:cs="Arial"/>
        <w:b w:val="0"/>
        <w:i w:val="0"/>
        <w:strike w:val="0"/>
        <w:dstrike w:val="0"/>
        <w:color w:val="0000FF"/>
        <w:sz w:val="20"/>
        <w:szCs w:val="20"/>
        <w:u w:val="single" w:color="0000FF"/>
        <w:bdr w:val="none" w:sz="0" w:space="0" w:color="auto"/>
        <w:shd w:val="clear" w:color="auto" w:fill="auto"/>
        <w:vertAlign w:val="baseline"/>
      </w:rPr>
    </w:lvl>
    <w:lvl w:ilvl="7" w:tplc="B18E2BD2">
      <w:start w:val="1"/>
      <w:numFmt w:val="lowerLetter"/>
      <w:lvlText w:val="%8"/>
      <w:lvlJc w:val="left"/>
      <w:pPr>
        <w:ind w:left="5472"/>
      </w:pPr>
      <w:rPr>
        <w:rFonts w:ascii="Arial" w:eastAsia="Arial" w:hAnsi="Arial" w:cs="Arial"/>
        <w:b w:val="0"/>
        <w:i w:val="0"/>
        <w:strike w:val="0"/>
        <w:dstrike w:val="0"/>
        <w:color w:val="0000FF"/>
        <w:sz w:val="20"/>
        <w:szCs w:val="20"/>
        <w:u w:val="single" w:color="0000FF"/>
        <w:bdr w:val="none" w:sz="0" w:space="0" w:color="auto"/>
        <w:shd w:val="clear" w:color="auto" w:fill="auto"/>
        <w:vertAlign w:val="baseline"/>
      </w:rPr>
    </w:lvl>
    <w:lvl w:ilvl="8" w:tplc="70747A0C">
      <w:start w:val="1"/>
      <w:numFmt w:val="lowerRoman"/>
      <w:lvlText w:val="%9"/>
      <w:lvlJc w:val="left"/>
      <w:pPr>
        <w:ind w:left="6192"/>
      </w:pPr>
      <w:rPr>
        <w:rFonts w:ascii="Arial" w:eastAsia="Arial" w:hAnsi="Arial" w:cs="Arial"/>
        <w:b w:val="0"/>
        <w:i w:val="0"/>
        <w:strike w:val="0"/>
        <w:dstrike w:val="0"/>
        <w:color w:val="0000FF"/>
        <w:sz w:val="20"/>
        <w:szCs w:val="20"/>
        <w:u w:val="single" w:color="0000FF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8AB3F84"/>
    <w:multiLevelType w:val="multilevel"/>
    <w:tmpl w:val="CD168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C815AF3"/>
    <w:multiLevelType w:val="hybridMultilevel"/>
    <w:tmpl w:val="C4686B5C"/>
    <w:lvl w:ilvl="0" w:tplc="2EBA085C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EE43170">
      <w:start w:val="1"/>
      <w:numFmt w:val="bullet"/>
      <w:lvlText w:val="o"/>
      <w:lvlJc w:val="left"/>
      <w:pPr>
        <w:ind w:left="11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25E17CC">
      <w:start w:val="1"/>
      <w:numFmt w:val="bullet"/>
      <w:lvlText w:val="▪"/>
      <w:lvlJc w:val="left"/>
      <w:pPr>
        <w:ind w:left="19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6FAA493A">
      <w:start w:val="1"/>
      <w:numFmt w:val="bullet"/>
      <w:lvlText w:val="•"/>
      <w:lvlJc w:val="left"/>
      <w:pPr>
        <w:ind w:left="26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11412DC">
      <w:start w:val="1"/>
      <w:numFmt w:val="bullet"/>
      <w:lvlText w:val="o"/>
      <w:lvlJc w:val="left"/>
      <w:pPr>
        <w:ind w:left="33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4E2C104">
      <w:start w:val="1"/>
      <w:numFmt w:val="bullet"/>
      <w:lvlText w:val="▪"/>
      <w:lvlJc w:val="left"/>
      <w:pPr>
        <w:ind w:left="40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242ADAA">
      <w:start w:val="1"/>
      <w:numFmt w:val="bullet"/>
      <w:lvlText w:val="•"/>
      <w:lvlJc w:val="left"/>
      <w:pPr>
        <w:ind w:left="47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25492AE">
      <w:start w:val="1"/>
      <w:numFmt w:val="bullet"/>
      <w:lvlText w:val="o"/>
      <w:lvlJc w:val="left"/>
      <w:pPr>
        <w:ind w:left="55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9B84C418">
      <w:start w:val="1"/>
      <w:numFmt w:val="bullet"/>
      <w:lvlText w:val="▪"/>
      <w:lvlJc w:val="left"/>
      <w:pPr>
        <w:ind w:left="62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42296200"/>
    <w:multiLevelType w:val="hybridMultilevel"/>
    <w:tmpl w:val="C452F546"/>
    <w:lvl w:ilvl="0" w:tplc="08C6DC48">
      <w:start w:val="1"/>
      <w:numFmt w:val="bullet"/>
      <w:lvlText w:val="§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F9C6C82">
      <w:start w:val="1"/>
      <w:numFmt w:val="bullet"/>
      <w:lvlText w:val="o"/>
      <w:lvlJc w:val="left"/>
      <w:pPr>
        <w:ind w:left="226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80CA006">
      <w:start w:val="1"/>
      <w:numFmt w:val="bullet"/>
      <w:lvlText w:val="▪"/>
      <w:lvlJc w:val="left"/>
      <w:pPr>
        <w:ind w:left="298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9481B0E">
      <w:start w:val="1"/>
      <w:numFmt w:val="bullet"/>
      <w:lvlText w:val="•"/>
      <w:lvlJc w:val="left"/>
      <w:pPr>
        <w:ind w:left="370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CB8AB9C">
      <w:start w:val="1"/>
      <w:numFmt w:val="bullet"/>
      <w:lvlText w:val="o"/>
      <w:lvlJc w:val="left"/>
      <w:pPr>
        <w:ind w:left="442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23EC216">
      <w:start w:val="1"/>
      <w:numFmt w:val="bullet"/>
      <w:lvlText w:val="▪"/>
      <w:lvlJc w:val="left"/>
      <w:pPr>
        <w:ind w:left="514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DEA8D34">
      <w:start w:val="1"/>
      <w:numFmt w:val="bullet"/>
      <w:lvlText w:val="•"/>
      <w:lvlJc w:val="left"/>
      <w:pPr>
        <w:ind w:left="586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5CC9782">
      <w:start w:val="1"/>
      <w:numFmt w:val="bullet"/>
      <w:lvlText w:val="o"/>
      <w:lvlJc w:val="left"/>
      <w:pPr>
        <w:ind w:left="658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47486B0">
      <w:start w:val="1"/>
      <w:numFmt w:val="bullet"/>
      <w:lvlText w:val="▪"/>
      <w:lvlJc w:val="left"/>
      <w:pPr>
        <w:ind w:left="730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425920AA"/>
    <w:multiLevelType w:val="hybridMultilevel"/>
    <w:tmpl w:val="95044B7E"/>
    <w:lvl w:ilvl="0" w:tplc="9CECA59A">
      <w:start w:val="1"/>
      <w:numFmt w:val="bullet"/>
      <w:lvlText w:val="•"/>
      <w:lvlJc w:val="left"/>
      <w:pPr>
        <w:ind w:left="7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B907854">
      <w:start w:val="1"/>
      <w:numFmt w:val="bullet"/>
      <w:lvlText w:val="o"/>
      <w:lvlJc w:val="left"/>
      <w:pPr>
        <w:ind w:left="15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0A63B56">
      <w:start w:val="1"/>
      <w:numFmt w:val="bullet"/>
      <w:lvlText w:val="▪"/>
      <w:lvlJc w:val="left"/>
      <w:pPr>
        <w:ind w:left="22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7B66D44">
      <w:start w:val="1"/>
      <w:numFmt w:val="bullet"/>
      <w:lvlText w:val="•"/>
      <w:lvlJc w:val="left"/>
      <w:pPr>
        <w:ind w:left="29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5FCAB10">
      <w:start w:val="1"/>
      <w:numFmt w:val="bullet"/>
      <w:lvlText w:val="o"/>
      <w:lvlJc w:val="left"/>
      <w:pPr>
        <w:ind w:left="37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8DE4938">
      <w:start w:val="1"/>
      <w:numFmt w:val="bullet"/>
      <w:lvlText w:val="▪"/>
      <w:lvlJc w:val="left"/>
      <w:pPr>
        <w:ind w:left="44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F0CB42C">
      <w:start w:val="1"/>
      <w:numFmt w:val="bullet"/>
      <w:lvlText w:val="•"/>
      <w:lvlJc w:val="left"/>
      <w:pPr>
        <w:ind w:left="51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0AE4CD2">
      <w:start w:val="1"/>
      <w:numFmt w:val="bullet"/>
      <w:lvlText w:val="o"/>
      <w:lvlJc w:val="left"/>
      <w:pPr>
        <w:ind w:left="58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2280B2E">
      <w:start w:val="1"/>
      <w:numFmt w:val="bullet"/>
      <w:lvlText w:val="▪"/>
      <w:lvlJc w:val="left"/>
      <w:pPr>
        <w:ind w:left="65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487322EA"/>
    <w:multiLevelType w:val="hybridMultilevel"/>
    <w:tmpl w:val="4638636E"/>
    <w:lvl w:ilvl="0" w:tplc="FC98E2DC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EC85726">
      <w:start w:val="1"/>
      <w:numFmt w:val="bullet"/>
      <w:lvlText w:val="o"/>
      <w:lvlJc w:val="left"/>
      <w:pPr>
        <w:ind w:left="11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7E4D1C0">
      <w:start w:val="1"/>
      <w:numFmt w:val="bullet"/>
      <w:lvlText w:val="▪"/>
      <w:lvlJc w:val="left"/>
      <w:pPr>
        <w:ind w:left="19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006F286">
      <w:start w:val="1"/>
      <w:numFmt w:val="bullet"/>
      <w:lvlText w:val="•"/>
      <w:lvlJc w:val="left"/>
      <w:pPr>
        <w:ind w:left="26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E1CD8AE">
      <w:start w:val="1"/>
      <w:numFmt w:val="bullet"/>
      <w:lvlText w:val="o"/>
      <w:lvlJc w:val="left"/>
      <w:pPr>
        <w:ind w:left="33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842EF40">
      <w:start w:val="1"/>
      <w:numFmt w:val="bullet"/>
      <w:lvlText w:val="▪"/>
      <w:lvlJc w:val="left"/>
      <w:pPr>
        <w:ind w:left="40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4F6D1B6">
      <w:start w:val="1"/>
      <w:numFmt w:val="bullet"/>
      <w:lvlText w:val="•"/>
      <w:lvlJc w:val="left"/>
      <w:pPr>
        <w:ind w:left="47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5469D68">
      <w:start w:val="1"/>
      <w:numFmt w:val="bullet"/>
      <w:lvlText w:val="o"/>
      <w:lvlJc w:val="left"/>
      <w:pPr>
        <w:ind w:left="55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8B69604">
      <w:start w:val="1"/>
      <w:numFmt w:val="bullet"/>
      <w:lvlText w:val="▪"/>
      <w:lvlJc w:val="left"/>
      <w:pPr>
        <w:ind w:left="62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4AFB37A4"/>
    <w:multiLevelType w:val="hybridMultilevel"/>
    <w:tmpl w:val="A4586CD6"/>
    <w:lvl w:ilvl="0" w:tplc="AE162E56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122ED838">
      <w:start w:val="1"/>
      <w:numFmt w:val="bullet"/>
      <w:lvlText w:val="o"/>
      <w:lvlJc w:val="left"/>
      <w:pPr>
        <w:ind w:left="11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943409A0">
      <w:start w:val="1"/>
      <w:numFmt w:val="bullet"/>
      <w:lvlText w:val="▪"/>
      <w:lvlJc w:val="left"/>
      <w:pPr>
        <w:ind w:left="19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95211E2">
      <w:start w:val="1"/>
      <w:numFmt w:val="bullet"/>
      <w:lvlText w:val="•"/>
      <w:lvlJc w:val="left"/>
      <w:pPr>
        <w:ind w:left="26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5DA4EECC">
      <w:start w:val="1"/>
      <w:numFmt w:val="bullet"/>
      <w:lvlText w:val="o"/>
      <w:lvlJc w:val="left"/>
      <w:pPr>
        <w:ind w:left="33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160497A">
      <w:start w:val="1"/>
      <w:numFmt w:val="bullet"/>
      <w:lvlText w:val="▪"/>
      <w:lvlJc w:val="left"/>
      <w:pPr>
        <w:ind w:left="40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2B60478C">
      <w:start w:val="1"/>
      <w:numFmt w:val="bullet"/>
      <w:lvlText w:val="•"/>
      <w:lvlJc w:val="left"/>
      <w:pPr>
        <w:ind w:left="47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1A74585A">
      <w:start w:val="1"/>
      <w:numFmt w:val="bullet"/>
      <w:lvlText w:val="o"/>
      <w:lvlJc w:val="left"/>
      <w:pPr>
        <w:ind w:left="55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1723A20">
      <w:start w:val="1"/>
      <w:numFmt w:val="bullet"/>
      <w:lvlText w:val="▪"/>
      <w:lvlJc w:val="left"/>
      <w:pPr>
        <w:ind w:left="62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4C800087"/>
    <w:multiLevelType w:val="hybridMultilevel"/>
    <w:tmpl w:val="EFAC5588"/>
    <w:lvl w:ilvl="0" w:tplc="C18C96DA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09E60EA">
      <w:start w:val="1"/>
      <w:numFmt w:val="bullet"/>
      <w:lvlText w:val="o"/>
      <w:lvlJc w:val="left"/>
      <w:pPr>
        <w:ind w:left="13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E0287E6">
      <w:start w:val="1"/>
      <w:numFmt w:val="bullet"/>
      <w:lvlText w:val="▪"/>
      <w:lvlJc w:val="left"/>
      <w:pPr>
        <w:ind w:left="20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27C03C38">
      <w:start w:val="1"/>
      <w:numFmt w:val="bullet"/>
      <w:lvlText w:val="•"/>
      <w:lvlJc w:val="left"/>
      <w:pPr>
        <w:ind w:left="27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E5A495C">
      <w:start w:val="1"/>
      <w:numFmt w:val="bullet"/>
      <w:lvlText w:val="o"/>
      <w:lvlJc w:val="left"/>
      <w:pPr>
        <w:ind w:left="34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9B602FDA">
      <w:start w:val="1"/>
      <w:numFmt w:val="bullet"/>
      <w:lvlText w:val="▪"/>
      <w:lvlJc w:val="left"/>
      <w:pPr>
        <w:ind w:left="41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4627DAE">
      <w:start w:val="1"/>
      <w:numFmt w:val="bullet"/>
      <w:lvlText w:val="•"/>
      <w:lvlJc w:val="left"/>
      <w:pPr>
        <w:ind w:left="49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3C830B2">
      <w:start w:val="1"/>
      <w:numFmt w:val="bullet"/>
      <w:lvlText w:val="o"/>
      <w:lvlJc w:val="left"/>
      <w:pPr>
        <w:ind w:left="56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98A68B4A">
      <w:start w:val="1"/>
      <w:numFmt w:val="bullet"/>
      <w:lvlText w:val="▪"/>
      <w:lvlJc w:val="left"/>
      <w:pPr>
        <w:ind w:left="63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53E1161B"/>
    <w:multiLevelType w:val="hybridMultilevel"/>
    <w:tmpl w:val="A0DCA734"/>
    <w:lvl w:ilvl="0" w:tplc="E3FCC650">
      <w:start w:val="1"/>
      <w:numFmt w:val="bullet"/>
      <w:lvlText w:val="•"/>
      <w:lvlJc w:val="left"/>
      <w:pPr>
        <w:ind w:left="3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5BADD6A">
      <w:start w:val="1"/>
      <w:numFmt w:val="bullet"/>
      <w:lvlText w:val="o"/>
      <w:lvlJc w:val="left"/>
      <w:pPr>
        <w:ind w:left="11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5D8D864">
      <w:start w:val="1"/>
      <w:numFmt w:val="bullet"/>
      <w:lvlText w:val="▪"/>
      <w:lvlJc w:val="left"/>
      <w:pPr>
        <w:ind w:left="18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6468D6E">
      <w:start w:val="1"/>
      <w:numFmt w:val="bullet"/>
      <w:lvlText w:val="•"/>
      <w:lvlJc w:val="left"/>
      <w:pPr>
        <w:ind w:left="25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6DE46A2">
      <w:start w:val="1"/>
      <w:numFmt w:val="bullet"/>
      <w:lvlText w:val="o"/>
      <w:lvlJc w:val="left"/>
      <w:pPr>
        <w:ind w:left="32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7866BBE">
      <w:start w:val="1"/>
      <w:numFmt w:val="bullet"/>
      <w:lvlText w:val="▪"/>
      <w:lvlJc w:val="left"/>
      <w:pPr>
        <w:ind w:left="40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9DCBBCA">
      <w:start w:val="1"/>
      <w:numFmt w:val="bullet"/>
      <w:lvlText w:val="•"/>
      <w:lvlJc w:val="left"/>
      <w:pPr>
        <w:ind w:left="47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9DA82C6">
      <w:start w:val="1"/>
      <w:numFmt w:val="bullet"/>
      <w:lvlText w:val="o"/>
      <w:lvlJc w:val="left"/>
      <w:pPr>
        <w:ind w:left="54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210B9BA">
      <w:start w:val="1"/>
      <w:numFmt w:val="bullet"/>
      <w:lvlText w:val="▪"/>
      <w:lvlJc w:val="left"/>
      <w:pPr>
        <w:ind w:left="61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58575720"/>
    <w:multiLevelType w:val="hybridMultilevel"/>
    <w:tmpl w:val="632E7C00"/>
    <w:lvl w:ilvl="0" w:tplc="8856B578">
      <w:start w:val="1"/>
      <w:numFmt w:val="bullet"/>
      <w:lvlText w:val="•"/>
      <w:lvlJc w:val="left"/>
      <w:pPr>
        <w:ind w:left="3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20039E0">
      <w:start w:val="1"/>
      <w:numFmt w:val="bullet"/>
      <w:lvlText w:val="o"/>
      <w:lvlJc w:val="left"/>
      <w:pPr>
        <w:ind w:left="1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4685802">
      <w:start w:val="1"/>
      <w:numFmt w:val="bullet"/>
      <w:lvlText w:val="▪"/>
      <w:lvlJc w:val="left"/>
      <w:pPr>
        <w:ind w:left="19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F24923C">
      <w:start w:val="1"/>
      <w:numFmt w:val="bullet"/>
      <w:lvlText w:val="•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8A0308E">
      <w:start w:val="1"/>
      <w:numFmt w:val="bullet"/>
      <w:lvlText w:val="o"/>
      <w:lvlJc w:val="left"/>
      <w:pPr>
        <w:ind w:left="33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0E8176A">
      <w:start w:val="1"/>
      <w:numFmt w:val="bullet"/>
      <w:lvlText w:val="▪"/>
      <w:lvlJc w:val="left"/>
      <w:pPr>
        <w:ind w:left="40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DEE4634">
      <w:start w:val="1"/>
      <w:numFmt w:val="bullet"/>
      <w:lvlText w:val="•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704F862">
      <w:start w:val="1"/>
      <w:numFmt w:val="bullet"/>
      <w:lvlText w:val="o"/>
      <w:lvlJc w:val="left"/>
      <w:pPr>
        <w:ind w:left="5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AA0E4A0">
      <w:start w:val="1"/>
      <w:numFmt w:val="bullet"/>
      <w:lvlText w:val="▪"/>
      <w:lvlJc w:val="left"/>
      <w:pPr>
        <w:ind w:left="62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5A930904"/>
    <w:multiLevelType w:val="hybridMultilevel"/>
    <w:tmpl w:val="FCB44D62"/>
    <w:lvl w:ilvl="0" w:tplc="04BC118C">
      <w:start w:val="1"/>
      <w:numFmt w:val="bullet"/>
      <w:lvlText w:val="•"/>
      <w:lvlJc w:val="left"/>
      <w:pPr>
        <w:ind w:left="3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202A570">
      <w:start w:val="1"/>
      <w:numFmt w:val="bullet"/>
      <w:lvlText w:val="o"/>
      <w:lvlJc w:val="left"/>
      <w:pPr>
        <w:ind w:left="11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80426FA">
      <w:start w:val="1"/>
      <w:numFmt w:val="bullet"/>
      <w:lvlText w:val="▪"/>
      <w:lvlJc w:val="left"/>
      <w:pPr>
        <w:ind w:left="18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4E8D2BE">
      <w:start w:val="1"/>
      <w:numFmt w:val="bullet"/>
      <w:lvlText w:val="•"/>
      <w:lvlJc w:val="left"/>
      <w:pPr>
        <w:ind w:left="25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8C9A10">
      <w:start w:val="1"/>
      <w:numFmt w:val="bullet"/>
      <w:lvlText w:val="o"/>
      <w:lvlJc w:val="left"/>
      <w:pPr>
        <w:ind w:left="32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0CCDAF2">
      <w:start w:val="1"/>
      <w:numFmt w:val="bullet"/>
      <w:lvlText w:val="▪"/>
      <w:lvlJc w:val="left"/>
      <w:pPr>
        <w:ind w:left="40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3000A4C">
      <w:start w:val="1"/>
      <w:numFmt w:val="bullet"/>
      <w:lvlText w:val="•"/>
      <w:lvlJc w:val="left"/>
      <w:pPr>
        <w:ind w:left="47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278B69C">
      <w:start w:val="1"/>
      <w:numFmt w:val="bullet"/>
      <w:lvlText w:val="o"/>
      <w:lvlJc w:val="left"/>
      <w:pPr>
        <w:ind w:left="54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1D45DDA">
      <w:start w:val="1"/>
      <w:numFmt w:val="bullet"/>
      <w:lvlText w:val="▪"/>
      <w:lvlJc w:val="left"/>
      <w:pPr>
        <w:ind w:left="61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618C095B"/>
    <w:multiLevelType w:val="hybridMultilevel"/>
    <w:tmpl w:val="31D4E1BE"/>
    <w:lvl w:ilvl="0" w:tplc="CE5AFCE6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180F6AC">
      <w:start w:val="1"/>
      <w:numFmt w:val="bullet"/>
      <w:lvlText w:val="o"/>
      <w:lvlJc w:val="left"/>
      <w:pPr>
        <w:ind w:left="11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D8E0C38">
      <w:start w:val="1"/>
      <w:numFmt w:val="bullet"/>
      <w:lvlText w:val="▪"/>
      <w:lvlJc w:val="left"/>
      <w:pPr>
        <w:ind w:left="19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D06774A">
      <w:start w:val="1"/>
      <w:numFmt w:val="bullet"/>
      <w:lvlText w:val="•"/>
      <w:lvlJc w:val="left"/>
      <w:pPr>
        <w:ind w:left="26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8E489F0">
      <w:start w:val="1"/>
      <w:numFmt w:val="bullet"/>
      <w:lvlText w:val="o"/>
      <w:lvlJc w:val="left"/>
      <w:pPr>
        <w:ind w:left="33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6B0878A">
      <w:start w:val="1"/>
      <w:numFmt w:val="bullet"/>
      <w:lvlText w:val="▪"/>
      <w:lvlJc w:val="left"/>
      <w:pPr>
        <w:ind w:left="40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71C4C10">
      <w:start w:val="1"/>
      <w:numFmt w:val="bullet"/>
      <w:lvlText w:val="•"/>
      <w:lvlJc w:val="left"/>
      <w:pPr>
        <w:ind w:left="47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FB0656A">
      <w:start w:val="1"/>
      <w:numFmt w:val="bullet"/>
      <w:lvlText w:val="o"/>
      <w:lvlJc w:val="left"/>
      <w:pPr>
        <w:ind w:left="55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4BE2A3A">
      <w:start w:val="1"/>
      <w:numFmt w:val="bullet"/>
      <w:lvlText w:val="▪"/>
      <w:lvlJc w:val="left"/>
      <w:pPr>
        <w:ind w:left="62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66905F86"/>
    <w:multiLevelType w:val="multilevel"/>
    <w:tmpl w:val="C94A9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9E303FD"/>
    <w:multiLevelType w:val="hybridMultilevel"/>
    <w:tmpl w:val="3C38A536"/>
    <w:lvl w:ilvl="0" w:tplc="B3F8B9F4">
      <w:start w:val="1"/>
      <w:numFmt w:val="bullet"/>
      <w:lvlText w:val="•"/>
      <w:lvlJc w:val="left"/>
      <w:pPr>
        <w:ind w:left="3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6403B20">
      <w:start w:val="1"/>
      <w:numFmt w:val="bullet"/>
      <w:lvlText w:val="o"/>
      <w:lvlJc w:val="left"/>
      <w:pPr>
        <w:ind w:left="11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448817A">
      <w:start w:val="1"/>
      <w:numFmt w:val="bullet"/>
      <w:lvlText w:val="▪"/>
      <w:lvlJc w:val="left"/>
      <w:pPr>
        <w:ind w:left="18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9D80330">
      <w:start w:val="1"/>
      <w:numFmt w:val="bullet"/>
      <w:lvlText w:val="•"/>
      <w:lvlJc w:val="left"/>
      <w:pPr>
        <w:ind w:left="25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9ACBBE2">
      <w:start w:val="1"/>
      <w:numFmt w:val="bullet"/>
      <w:lvlText w:val="o"/>
      <w:lvlJc w:val="left"/>
      <w:pPr>
        <w:ind w:left="32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BB291A8">
      <w:start w:val="1"/>
      <w:numFmt w:val="bullet"/>
      <w:lvlText w:val="▪"/>
      <w:lvlJc w:val="left"/>
      <w:pPr>
        <w:ind w:left="40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376EB7C">
      <w:start w:val="1"/>
      <w:numFmt w:val="bullet"/>
      <w:lvlText w:val="•"/>
      <w:lvlJc w:val="left"/>
      <w:pPr>
        <w:ind w:left="47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D6EE562">
      <w:start w:val="1"/>
      <w:numFmt w:val="bullet"/>
      <w:lvlText w:val="o"/>
      <w:lvlJc w:val="left"/>
      <w:pPr>
        <w:ind w:left="54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6666FC4">
      <w:start w:val="1"/>
      <w:numFmt w:val="bullet"/>
      <w:lvlText w:val="▪"/>
      <w:lvlJc w:val="left"/>
      <w:pPr>
        <w:ind w:left="61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6BE62266"/>
    <w:multiLevelType w:val="multilevel"/>
    <w:tmpl w:val="CE1EF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7C45A96"/>
    <w:multiLevelType w:val="hybridMultilevel"/>
    <w:tmpl w:val="DA884C2E"/>
    <w:lvl w:ilvl="0" w:tplc="027E0E4E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59E8D16">
      <w:start w:val="1"/>
      <w:numFmt w:val="bullet"/>
      <w:lvlText w:val="o"/>
      <w:lvlJc w:val="left"/>
      <w:pPr>
        <w:ind w:left="17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788E716">
      <w:start w:val="1"/>
      <w:numFmt w:val="bullet"/>
      <w:lvlText w:val="▪"/>
      <w:lvlJc w:val="left"/>
      <w:pPr>
        <w:ind w:left="24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30CD762">
      <w:start w:val="1"/>
      <w:numFmt w:val="bullet"/>
      <w:lvlText w:val="•"/>
      <w:lvlJc w:val="left"/>
      <w:pPr>
        <w:ind w:left="31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782D110">
      <w:start w:val="1"/>
      <w:numFmt w:val="bullet"/>
      <w:lvlText w:val="o"/>
      <w:lvlJc w:val="left"/>
      <w:pPr>
        <w:ind w:left="39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CDAFBF2">
      <w:start w:val="1"/>
      <w:numFmt w:val="bullet"/>
      <w:lvlText w:val="▪"/>
      <w:lvlJc w:val="left"/>
      <w:pPr>
        <w:ind w:left="46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98ED552">
      <w:start w:val="1"/>
      <w:numFmt w:val="bullet"/>
      <w:lvlText w:val="•"/>
      <w:lvlJc w:val="left"/>
      <w:pPr>
        <w:ind w:left="53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6243628">
      <w:start w:val="1"/>
      <w:numFmt w:val="bullet"/>
      <w:lvlText w:val="o"/>
      <w:lvlJc w:val="left"/>
      <w:pPr>
        <w:ind w:left="60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53CDA90">
      <w:start w:val="1"/>
      <w:numFmt w:val="bullet"/>
      <w:lvlText w:val="▪"/>
      <w:lvlJc w:val="left"/>
      <w:pPr>
        <w:ind w:left="67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7B012E65"/>
    <w:multiLevelType w:val="multilevel"/>
    <w:tmpl w:val="216A6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B8B448C"/>
    <w:multiLevelType w:val="hybridMultilevel"/>
    <w:tmpl w:val="E0163B78"/>
    <w:lvl w:ilvl="0" w:tplc="D5522748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2DE4FC0">
      <w:start w:val="1"/>
      <w:numFmt w:val="bullet"/>
      <w:lvlText w:val="o"/>
      <w:lvlJc w:val="left"/>
      <w:pPr>
        <w:ind w:left="7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CD9A3C36">
      <w:start w:val="1"/>
      <w:numFmt w:val="bullet"/>
      <w:lvlText w:val="▪"/>
      <w:lvlJc w:val="left"/>
      <w:pPr>
        <w:ind w:left="1909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5C6E5992">
      <w:start w:val="1"/>
      <w:numFmt w:val="bullet"/>
      <w:lvlText w:val="•"/>
      <w:lvlJc w:val="left"/>
      <w:pPr>
        <w:ind w:left="2629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CC0A3EFE">
      <w:start w:val="1"/>
      <w:numFmt w:val="bullet"/>
      <w:lvlText w:val="o"/>
      <w:lvlJc w:val="left"/>
      <w:pPr>
        <w:ind w:left="3349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7866394">
      <w:start w:val="1"/>
      <w:numFmt w:val="bullet"/>
      <w:lvlText w:val="▪"/>
      <w:lvlJc w:val="left"/>
      <w:pPr>
        <w:ind w:left="4069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876A583A">
      <w:start w:val="1"/>
      <w:numFmt w:val="bullet"/>
      <w:lvlText w:val="•"/>
      <w:lvlJc w:val="left"/>
      <w:pPr>
        <w:ind w:left="4789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43325106">
      <w:start w:val="1"/>
      <w:numFmt w:val="bullet"/>
      <w:lvlText w:val="o"/>
      <w:lvlJc w:val="left"/>
      <w:pPr>
        <w:ind w:left="5509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A6163D9E">
      <w:start w:val="1"/>
      <w:numFmt w:val="bullet"/>
      <w:lvlText w:val="▪"/>
      <w:lvlJc w:val="left"/>
      <w:pPr>
        <w:ind w:left="6229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7CF21D14"/>
    <w:multiLevelType w:val="hybridMultilevel"/>
    <w:tmpl w:val="892A7248"/>
    <w:lvl w:ilvl="0" w:tplc="A7864766">
      <w:start w:val="1"/>
      <w:numFmt w:val="bullet"/>
      <w:lvlText w:val="•"/>
      <w:lvlJc w:val="left"/>
      <w:pPr>
        <w:ind w:left="7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884A946">
      <w:start w:val="1"/>
      <w:numFmt w:val="bullet"/>
      <w:lvlText w:val="o"/>
      <w:lvlJc w:val="left"/>
      <w:pPr>
        <w:ind w:left="15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E8288EA">
      <w:start w:val="1"/>
      <w:numFmt w:val="bullet"/>
      <w:lvlText w:val="▪"/>
      <w:lvlJc w:val="left"/>
      <w:pPr>
        <w:ind w:left="22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2C8644E">
      <w:start w:val="1"/>
      <w:numFmt w:val="bullet"/>
      <w:lvlText w:val="•"/>
      <w:lvlJc w:val="left"/>
      <w:pPr>
        <w:ind w:left="29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E34CEE4">
      <w:start w:val="1"/>
      <w:numFmt w:val="bullet"/>
      <w:lvlText w:val="o"/>
      <w:lvlJc w:val="left"/>
      <w:pPr>
        <w:ind w:left="36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BEA95FC">
      <w:start w:val="1"/>
      <w:numFmt w:val="bullet"/>
      <w:lvlText w:val="▪"/>
      <w:lvlJc w:val="left"/>
      <w:pPr>
        <w:ind w:left="43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914BDAE">
      <w:start w:val="1"/>
      <w:numFmt w:val="bullet"/>
      <w:lvlText w:val="•"/>
      <w:lvlJc w:val="left"/>
      <w:pPr>
        <w:ind w:left="51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152730E">
      <w:start w:val="1"/>
      <w:numFmt w:val="bullet"/>
      <w:lvlText w:val="o"/>
      <w:lvlJc w:val="left"/>
      <w:pPr>
        <w:ind w:left="58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42E82BC">
      <w:start w:val="1"/>
      <w:numFmt w:val="bullet"/>
      <w:lvlText w:val="▪"/>
      <w:lvlJc w:val="left"/>
      <w:pPr>
        <w:ind w:left="65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795484124">
    <w:abstractNumId w:val="10"/>
  </w:num>
  <w:num w:numId="2" w16cid:durableId="1971132813">
    <w:abstractNumId w:val="7"/>
  </w:num>
  <w:num w:numId="3" w16cid:durableId="1641960144">
    <w:abstractNumId w:val="11"/>
  </w:num>
  <w:num w:numId="4" w16cid:durableId="1127357224">
    <w:abstractNumId w:val="29"/>
  </w:num>
  <w:num w:numId="5" w16cid:durableId="265963135">
    <w:abstractNumId w:val="14"/>
  </w:num>
  <w:num w:numId="6" w16cid:durableId="1654870782">
    <w:abstractNumId w:val="6"/>
  </w:num>
  <w:num w:numId="7" w16cid:durableId="1440026239">
    <w:abstractNumId w:val="15"/>
  </w:num>
  <w:num w:numId="8" w16cid:durableId="1362977091">
    <w:abstractNumId w:val="26"/>
  </w:num>
  <w:num w:numId="9" w16cid:durableId="1503543343">
    <w:abstractNumId w:val="28"/>
  </w:num>
  <w:num w:numId="10" w16cid:durableId="83890269">
    <w:abstractNumId w:val="17"/>
  </w:num>
  <w:num w:numId="11" w16cid:durableId="1963415409">
    <w:abstractNumId w:val="18"/>
  </w:num>
  <w:num w:numId="12" w16cid:durableId="1919751611">
    <w:abstractNumId w:val="13"/>
  </w:num>
  <w:num w:numId="13" w16cid:durableId="1992441338">
    <w:abstractNumId w:val="16"/>
  </w:num>
  <w:num w:numId="14" w16cid:durableId="1837188621">
    <w:abstractNumId w:val="1"/>
  </w:num>
  <w:num w:numId="15" w16cid:durableId="1592273251">
    <w:abstractNumId w:val="20"/>
  </w:num>
  <w:num w:numId="16" w16cid:durableId="180123961">
    <w:abstractNumId w:val="2"/>
  </w:num>
  <w:num w:numId="17" w16cid:durableId="1311514751">
    <w:abstractNumId w:val="9"/>
  </w:num>
  <w:num w:numId="18" w16cid:durableId="1369406487">
    <w:abstractNumId w:val="22"/>
  </w:num>
  <w:num w:numId="19" w16cid:durableId="137577820">
    <w:abstractNumId w:val="21"/>
  </w:num>
  <w:num w:numId="20" w16cid:durableId="1333416716">
    <w:abstractNumId w:val="24"/>
  </w:num>
  <w:num w:numId="21" w16cid:durableId="1877543460">
    <w:abstractNumId w:val="19"/>
  </w:num>
  <w:num w:numId="22" w16cid:durableId="1999072681">
    <w:abstractNumId w:val="8"/>
  </w:num>
  <w:num w:numId="23" w16cid:durableId="569194630">
    <w:abstractNumId w:val="27"/>
  </w:num>
  <w:num w:numId="24" w16cid:durableId="147988357">
    <w:abstractNumId w:val="12"/>
  </w:num>
  <w:num w:numId="25" w16cid:durableId="1845433932">
    <w:abstractNumId w:val="23"/>
  </w:num>
  <w:num w:numId="26" w16cid:durableId="1168248322">
    <w:abstractNumId w:val="4"/>
  </w:num>
  <w:num w:numId="27" w16cid:durableId="330832637">
    <w:abstractNumId w:val="5"/>
  </w:num>
  <w:num w:numId="28" w16cid:durableId="1596399767">
    <w:abstractNumId w:val="0"/>
  </w:num>
  <w:num w:numId="29" w16cid:durableId="1063597586">
    <w:abstractNumId w:val="25"/>
  </w:num>
  <w:num w:numId="30" w16cid:durableId="18490607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5E15"/>
    <w:rsid w:val="0001107B"/>
    <w:rsid w:val="00013145"/>
    <w:rsid w:val="00026AAA"/>
    <w:rsid w:val="000447DE"/>
    <w:rsid w:val="00045B4D"/>
    <w:rsid w:val="00064171"/>
    <w:rsid w:val="000C3ECF"/>
    <w:rsid w:val="000F3524"/>
    <w:rsid w:val="00110356"/>
    <w:rsid w:val="001A0312"/>
    <w:rsid w:val="001D16F8"/>
    <w:rsid w:val="00222C0F"/>
    <w:rsid w:val="002270D8"/>
    <w:rsid w:val="00233F25"/>
    <w:rsid w:val="00271854"/>
    <w:rsid w:val="002F08E2"/>
    <w:rsid w:val="002F58EA"/>
    <w:rsid w:val="00341462"/>
    <w:rsid w:val="00351DC0"/>
    <w:rsid w:val="003F17D3"/>
    <w:rsid w:val="00431BCB"/>
    <w:rsid w:val="004343E9"/>
    <w:rsid w:val="004678D3"/>
    <w:rsid w:val="004730E8"/>
    <w:rsid w:val="004A2000"/>
    <w:rsid w:val="004C648B"/>
    <w:rsid w:val="004E1018"/>
    <w:rsid w:val="004E392B"/>
    <w:rsid w:val="004E438F"/>
    <w:rsid w:val="00515127"/>
    <w:rsid w:val="0055526F"/>
    <w:rsid w:val="0057644B"/>
    <w:rsid w:val="005B4A30"/>
    <w:rsid w:val="005C10AC"/>
    <w:rsid w:val="005D5ADA"/>
    <w:rsid w:val="005E37E5"/>
    <w:rsid w:val="005F1E02"/>
    <w:rsid w:val="005F6049"/>
    <w:rsid w:val="00604B36"/>
    <w:rsid w:val="006654ED"/>
    <w:rsid w:val="00675CA6"/>
    <w:rsid w:val="00686C01"/>
    <w:rsid w:val="006A51E1"/>
    <w:rsid w:val="006C3FB5"/>
    <w:rsid w:val="00710D33"/>
    <w:rsid w:val="0079548F"/>
    <w:rsid w:val="00796C80"/>
    <w:rsid w:val="007C440C"/>
    <w:rsid w:val="007D23E8"/>
    <w:rsid w:val="008436A7"/>
    <w:rsid w:val="008E0676"/>
    <w:rsid w:val="00901535"/>
    <w:rsid w:val="009112DE"/>
    <w:rsid w:val="009126AD"/>
    <w:rsid w:val="009666E9"/>
    <w:rsid w:val="009E7CA6"/>
    <w:rsid w:val="009F1AA7"/>
    <w:rsid w:val="009F4DE2"/>
    <w:rsid w:val="00A04DEA"/>
    <w:rsid w:val="00A2080D"/>
    <w:rsid w:val="00A350D5"/>
    <w:rsid w:val="00A56442"/>
    <w:rsid w:val="00A70E11"/>
    <w:rsid w:val="00AD1EE3"/>
    <w:rsid w:val="00B00D08"/>
    <w:rsid w:val="00B474D3"/>
    <w:rsid w:val="00B64C7D"/>
    <w:rsid w:val="00B826A4"/>
    <w:rsid w:val="00B82EFB"/>
    <w:rsid w:val="00B9018C"/>
    <w:rsid w:val="00BD4208"/>
    <w:rsid w:val="00BE04BD"/>
    <w:rsid w:val="00BE6364"/>
    <w:rsid w:val="00C05E15"/>
    <w:rsid w:val="00C140E9"/>
    <w:rsid w:val="00C66278"/>
    <w:rsid w:val="00C71221"/>
    <w:rsid w:val="00CB0C1D"/>
    <w:rsid w:val="00CB1C9E"/>
    <w:rsid w:val="00CC1A7E"/>
    <w:rsid w:val="00CD54CC"/>
    <w:rsid w:val="00CD5C86"/>
    <w:rsid w:val="00CE5B47"/>
    <w:rsid w:val="00D12F7E"/>
    <w:rsid w:val="00D14737"/>
    <w:rsid w:val="00D15A27"/>
    <w:rsid w:val="00D93352"/>
    <w:rsid w:val="00DA0C66"/>
    <w:rsid w:val="00DC13B6"/>
    <w:rsid w:val="00DC7E3C"/>
    <w:rsid w:val="00E3193D"/>
    <w:rsid w:val="00E63F20"/>
    <w:rsid w:val="00E811DA"/>
    <w:rsid w:val="00E81CED"/>
    <w:rsid w:val="00EB6BEB"/>
    <w:rsid w:val="00F221ED"/>
    <w:rsid w:val="00F81D3E"/>
    <w:rsid w:val="00F955BB"/>
    <w:rsid w:val="00FA2FF9"/>
    <w:rsid w:val="00FF5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A407A"/>
  <w15:docId w15:val="{8E1CD4A4-C625-6044-BA16-B3CE65027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0" w:line="249" w:lineRule="auto"/>
      <w:ind w:left="10" w:hanging="10"/>
      <w:jc w:val="center"/>
      <w:outlineLvl w:val="0"/>
    </w:pPr>
    <w:rPr>
      <w:rFonts w:ascii="Arial" w:eastAsia="Arial" w:hAnsi="Arial" w:cs="Arial"/>
      <w:b/>
      <w:color w:val="000000"/>
      <w:sz w:val="32"/>
    </w:rPr>
  </w:style>
  <w:style w:type="paragraph" w:styleId="Nadpis2">
    <w:name w:val="heading 2"/>
    <w:next w:val="Normln"/>
    <w:link w:val="Nadpis2Char"/>
    <w:uiPriority w:val="9"/>
    <w:unhideWhenUsed/>
    <w:qFormat/>
    <w:pPr>
      <w:keepNext/>
      <w:keepLines/>
      <w:spacing w:after="8" w:line="252" w:lineRule="auto"/>
      <w:ind w:left="10" w:right="35" w:hanging="10"/>
      <w:outlineLvl w:val="1"/>
    </w:pPr>
    <w:rPr>
      <w:rFonts w:ascii="Arial" w:eastAsia="Arial" w:hAnsi="Arial" w:cs="Arial"/>
      <w:b/>
      <w:color w:val="000000"/>
      <w:sz w:val="28"/>
    </w:rPr>
  </w:style>
  <w:style w:type="paragraph" w:styleId="Nadpis3">
    <w:name w:val="heading 3"/>
    <w:next w:val="Normln"/>
    <w:link w:val="Nadpis3Char"/>
    <w:uiPriority w:val="9"/>
    <w:unhideWhenUsed/>
    <w:qFormat/>
    <w:pPr>
      <w:keepNext/>
      <w:keepLines/>
      <w:spacing w:after="0" w:line="259" w:lineRule="auto"/>
      <w:ind w:left="10" w:hanging="10"/>
      <w:outlineLvl w:val="2"/>
    </w:pPr>
    <w:rPr>
      <w:rFonts w:ascii="Arial" w:eastAsia="Arial" w:hAnsi="Arial" w:cs="Arial"/>
      <w:b/>
      <w:color w:val="000000"/>
      <w:sz w:val="26"/>
    </w:rPr>
  </w:style>
  <w:style w:type="paragraph" w:styleId="Nadpis4">
    <w:name w:val="heading 4"/>
    <w:next w:val="Normln"/>
    <w:link w:val="Nadpis4Char"/>
    <w:uiPriority w:val="9"/>
    <w:unhideWhenUsed/>
    <w:qFormat/>
    <w:pPr>
      <w:keepNext/>
      <w:keepLines/>
      <w:spacing w:after="0" w:line="259" w:lineRule="auto"/>
      <w:ind w:left="10" w:hanging="10"/>
      <w:outlineLvl w:val="3"/>
    </w:pPr>
    <w:rPr>
      <w:rFonts w:ascii="Arial" w:eastAsia="Arial" w:hAnsi="Arial" w:cs="Arial"/>
      <w:b/>
      <w:color w:val="000000"/>
    </w:rPr>
  </w:style>
  <w:style w:type="paragraph" w:styleId="Nadpis5">
    <w:name w:val="heading 5"/>
    <w:next w:val="Normln"/>
    <w:link w:val="Nadpis5Char"/>
    <w:uiPriority w:val="9"/>
    <w:unhideWhenUsed/>
    <w:qFormat/>
    <w:pPr>
      <w:keepNext/>
      <w:keepLines/>
      <w:spacing w:after="0" w:line="259" w:lineRule="auto"/>
      <w:ind w:left="10" w:right="2885" w:hanging="10"/>
      <w:jc w:val="center"/>
      <w:outlineLvl w:val="4"/>
    </w:pPr>
    <w:rPr>
      <w:rFonts w:ascii="Arial" w:eastAsia="Arial" w:hAnsi="Arial" w:cs="Arial"/>
      <w:i/>
      <w:color w:val="FF0000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link w:val="Nadpis5"/>
    <w:rPr>
      <w:rFonts w:ascii="Arial" w:eastAsia="Arial" w:hAnsi="Arial" w:cs="Arial"/>
      <w:i/>
      <w:color w:val="FF0000"/>
      <w:sz w:val="20"/>
    </w:rPr>
  </w:style>
  <w:style w:type="character" w:customStyle="1" w:styleId="Nadpis4Char">
    <w:name w:val="Nadpis 4 Char"/>
    <w:link w:val="Nadpis4"/>
    <w:rPr>
      <w:rFonts w:ascii="Arial" w:eastAsia="Arial" w:hAnsi="Arial" w:cs="Arial"/>
      <w:b/>
      <w:color w:val="000000"/>
      <w:sz w:val="24"/>
    </w:rPr>
  </w:style>
  <w:style w:type="character" w:customStyle="1" w:styleId="Nadpis3Char">
    <w:name w:val="Nadpis 3 Char"/>
    <w:link w:val="Nadpis3"/>
    <w:rPr>
      <w:rFonts w:ascii="Arial" w:eastAsia="Arial" w:hAnsi="Arial" w:cs="Arial"/>
      <w:b/>
      <w:color w:val="000000"/>
      <w:sz w:val="26"/>
    </w:rPr>
  </w:style>
  <w:style w:type="character" w:customStyle="1" w:styleId="Nadpis2Char">
    <w:name w:val="Nadpis 2 Char"/>
    <w:link w:val="Nadpis2"/>
    <w:rPr>
      <w:rFonts w:ascii="Arial" w:eastAsia="Arial" w:hAnsi="Arial" w:cs="Arial"/>
      <w:b/>
      <w:color w:val="000000"/>
      <w:sz w:val="28"/>
    </w:rPr>
  </w:style>
  <w:style w:type="character" w:customStyle="1" w:styleId="Nadpis1Char">
    <w:name w:val="Nadpis 1 Char"/>
    <w:link w:val="Nadpis1"/>
    <w:rPr>
      <w:rFonts w:ascii="Arial" w:eastAsia="Arial" w:hAnsi="Arial" w:cs="Arial"/>
      <w:b/>
      <w:color w:val="000000"/>
      <w:sz w:val="32"/>
    </w:rPr>
  </w:style>
  <w:style w:type="paragraph" w:customStyle="1" w:styleId="footnotedescription">
    <w:name w:val="footnote description"/>
    <w:next w:val="Normln"/>
    <w:link w:val="footnotedescriptionChar"/>
    <w:hidden/>
    <w:pPr>
      <w:spacing w:after="0" w:line="259" w:lineRule="auto"/>
    </w:pPr>
    <w:rPr>
      <w:rFonts w:ascii="Arial" w:eastAsia="Arial" w:hAnsi="Arial" w:cs="Arial"/>
      <w:color w:val="000000"/>
      <w:sz w:val="16"/>
    </w:rPr>
  </w:style>
  <w:style w:type="character" w:customStyle="1" w:styleId="footnotedescriptionChar">
    <w:name w:val="footnote description Char"/>
    <w:link w:val="footnotedescription"/>
    <w:rPr>
      <w:rFonts w:ascii="Arial" w:eastAsia="Arial" w:hAnsi="Arial" w:cs="Arial"/>
      <w:color w:val="000000"/>
      <w:sz w:val="16"/>
    </w:rPr>
  </w:style>
  <w:style w:type="character" w:customStyle="1" w:styleId="footnotemark">
    <w:name w:val="footnote mark"/>
    <w:hidden/>
    <w:rPr>
      <w:rFonts w:ascii="Arial" w:eastAsia="Arial" w:hAnsi="Arial" w:cs="Arial"/>
      <w:color w:val="000000"/>
      <w:sz w:val="16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A2080D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2080D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9666E9"/>
    <w:pPr>
      <w:spacing w:after="0" w:line="240" w:lineRule="auto"/>
    </w:pPr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221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operable-europe.ec.europa.eu/collection/digital-building-blocks" TargetMode="External"/><Relationship Id="rId13" Type="http://schemas.openxmlformats.org/officeDocument/2006/relationships/hyperlink" Target="https://eur-lex.europa.eu/legal-content/CS/TXT/HTML/?uri=CELEX:52017DC0134" TargetMode="External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eur-lex.europa.eu/legal-content/CS/TXT/HTML/?uri=OJ:L_202400903" TargetMode="External"/><Relationship Id="rId12" Type="http://schemas.openxmlformats.org/officeDocument/2006/relationships/hyperlink" Target="https://www.nixzd.cz/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idas.ec.europa.eu/efda/trust-services/browse/eidas/tls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https://rpp-ais.egon.gov.cz/AISP/verejne/isvs/zobrazeni-isvs/24976" TargetMode="Externa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http://data.europa.eu/eli/reg/2024/1183/oj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542</Words>
  <Characters>3200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PVS_PO_eD_DX_formular_b2_7.2_DD10+_20240603</vt:lpstr>
    </vt:vector>
  </TitlesOfParts>
  <Company/>
  <LinksUpToDate>false</LinksUpToDate>
  <CharactersWithSpaces>3735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PVS_PO_eD_DX_formular_b2_7.2_DD10+_20240603</dc:title>
  <dc:subject/>
  <dc:creator>Martin Lukáš</dc:creator>
  <cp:keywords/>
  <cp:lastModifiedBy>Šedivec Tomáš</cp:lastModifiedBy>
  <cp:revision>3</cp:revision>
  <dcterms:created xsi:type="dcterms:W3CDTF">2024-12-11T08:19:00Z</dcterms:created>
  <dcterms:modified xsi:type="dcterms:W3CDTF">2024-12-11T08:19:00Z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2024-06-06T06:32:33Z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5b6b85cd-44ef-4d66-86d4-603dd2160780</vt:lpwstr>
  </property>
  <property fmtid="{D5CDD505-2E9C-101B-9397-08002B2CF9AE}" pid="7" name="MSIP_Label_defa4170-0d19-0005-0004-bc88714345d2_ActionId">
    <vt:lpwstr>b8ab9e80-0f7b-4f08-906d-8724f04df57b</vt:lpwstr>
  </property>
  <property fmtid="{D5CDD505-2E9C-101B-9397-08002B2CF9AE}" pid="8" name="MSIP_Label_defa4170-0d19-0005-0004-bc88714345d2_ContentBits">
    <vt:lpwstr>0</vt:lpwstr>
  </property>
</Properties>
</file>