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E350A" w14:textId="13BA3E15" w:rsidR="004373EB" w:rsidRPr="004373EB" w:rsidRDefault="004373EB" w:rsidP="004373EB">
      <w:pPr>
        <w:pStyle w:val="Nzev"/>
        <w:rPr>
          <w:rFonts w:eastAsia="Times New Roman"/>
          <w:b/>
          <w:bCs/>
          <w:lang w:eastAsia="cs-CZ"/>
        </w:rPr>
      </w:pPr>
      <w:r w:rsidRPr="004373EB">
        <w:rPr>
          <w:rFonts w:eastAsia="Times New Roman"/>
          <w:b/>
          <w:bCs/>
          <w:lang w:eastAsia="cs-CZ"/>
        </w:rPr>
        <w:t xml:space="preserve">9. výzva </w:t>
      </w:r>
      <w:proofErr w:type="gramStart"/>
      <w:r w:rsidRPr="004373EB">
        <w:rPr>
          <w:rFonts w:eastAsia="Times New Roman"/>
          <w:b/>
          <w:bCs/>
          <w:lang w:eastAsia="cs-CZ"/>
        </w:rPr>
        <w:t>IROP - eGovernment</w:t>
      </w:r>
      <w:proofErr w:type="gramEnd"/>
    </w:p>
    <w:p w14:paraId="4BAD630B" w14:textId="77777777" w:rsidR="004373EB" w:rsidRDefault="004373EB" w:rsidP="004373EB">
      <w:pPr>
        <w:rPr>
          <w:rFonts w:ascii="Calibri" w:eastAsia="Times New Roman" w:hAnsi="Calibri" w:cs="Calibri"/>
          <w:color w:val="000000"/>
          <w:kern w:val="0"/>
          <w:sz w:val="22"/>
          <w:szCs w:val="22"/>
          <w:lang w:eastAsia="cs-CZ"/>
          <w14:ligatures w14:val="none"/>
        </w:rPr>
      </w:pPr>
    </w:p>
    <w:p w14:paraId="54C3F8E9" w14:textId="07BA4BE5" w:rsidR="004373EB" w:rsidRPr="004373EB" w:rsidRDefault="004373EB" w:rsidP="004373EB">
      <w:pPr>
        <w:pStyle w:val="Nadpis2"/>
        <w:rPr>
          <w:rFonts w:eastAsia="Times New Roman"/>
          <w:lang w:eastAsia="cs-CZ"/>
        </w:rPr>
      </w:pPr>
      <w:r w:rsidRPr="004373EB">
        <w:rPr>
          <w:rFonts w:eastAsia="Times New Roman"/>
          <w:lang w:eastAsia="cs-CZ"/>
        </w:rPr>
        <w:t>Dotace</w:t>
      </w:r>
      <w:r>
        <w:rPr>
          <w:rFonts w:eastAsia="Times New Roman"/>
          <w:lang w:eastAsia="cs-CZ"/>
        </w:rPr>
        <w:t>:</w:t>
      </w:r>
    </w:p>
    <w:p w14:paraId="7D30D6B6" w14:textId="77777777" w:rsidR="004373EB" w:rsidRDefault="004373EB" w:rsidP="004373EB">
      <w:pPr>
        <w:numPr>
          <w:ilvl w:val="0"/>
          <w:numId w:val="3"/>
        </w:numPr>
        <w:tabs>
          <w:tab w:val="num" w:pos="1440"/>
        </w:tabs>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color w:val="000000"/>
          <w:kern w:val="0"/>
          <w:sz w:val="22"/>
          <w:szCs w:val="22"/>
          <w:lang w:eastAsia="cs-CZ"/>
          <w14:ligatures w14:val="none"/>
        </w:rPr>
        <w:t>Od data umožnění příjmu žádostí o podporu činí objem zaregistrovaných žádostí o podporu 483,87 mil. Kč z Evropského fondu pro regionální rozvoj, což představuje 53,6 % alokace výzvy. Ve výzvě je tak ještě k dispozici 418 mil. Kč.</w:t>
      </w:r>
    </w:p>
    <w:p w14:paraId="7CF1267F" w14:textId="77777777" w:rsidR="004373EB" w:rsidRPr="004373EB" w:rsidRDefault="004373EB" w:rsidP="004373EB">
      <w:pPr>
        <w:numPr>
          <w:ilvl w:val="0"/>
          <w:numId w:val="3"/>
        </w:num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color w:val="000000"/>
          <w:kern w:val="0"/>
          <w:sz w:val="22"/>
          <w:szCs w:val="22"/>
          <w:lang w:eastAsia="cs-CZ"/>
          <w14:ligatures w14:val="none"/>
        </w:rPr>
        <w:t>Minimální výše výdajů na jeden projekt: 1 mil. Kč</w:t>
      </w:r>
    </w:p>
    <w:p w14:paraId="249CA459" w14:textId="57BB561F" w:rsidR="004373EB" w:rsidRPr="004373EB" w:rsidRDefault="004373EB" w:rsidP="004373EB">
      <w:pPr>
        <w:numPr>
          <w:ilvl w:val="0"/>
          <w:numId w:val="3"/>
        </w:num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color w:val="000000"/>
          <w:kern w:val="0"/>
          <w:sz w:val="22"/>
          <w:szCs w:val="22"/>
          <w:lang w:eastAsia="cs-CZ"/>
          <w14:ligatures w14:val="none"/>
        </w:rPr>
        <w:t>Maximální výše celkových výdajů na jeden projekt: 50 mil. Kč</w:t>
      </w:r>
    </w:p>
    <w:p w14:paraId="55A9FCAD" w14:textId="487747DC" w:rsidR="004373EB" w:rsidRPr="004373EB" w:rsidRDefault="004373EB" w:rsidP="004373EB">
      <w:pPr>
        <w:pStyle w:val="Nadpis2"/>
        <w:rPr>
          <w:rFonts w:eastAsia="Times New Roman"/>
          <w:lang w:eastAsia="cs-CZ"/>
        </w:rPr>
      </w:pPr>
      <w:r w:rsidRPr="004373EB">
        <w:rPr>
          <w:rFonts w:eastAsia="Times New Roman"/>
          <w:lang w:eastAsia="cs-CZ"/>
        </w:rPr>
        <w:t>Termín</w:t>
      </w:r>
      <w:r>
        <w:rPr>
          <w:rFonts w:eastAsia="Times New Roman"/>
          <w:lang w:eastAsia="cs-CZ"/>
        </w:rPr>
        <w:t>:</w:t>
      </w:r>
    </w:p>
    <w:p w14:paraId="754F5CB9" w14:textId="5D3A486D" w:rsidR="004373EB" w:rsidRPr="004373EB" w:rsidRDefault="004373EB" w:rsidP="004373EB">
      <w:pPr>
        <w:numPr>
          <w:ilvl w:val="0"/>
          <w:numId w:val="3"/>
        </w:numPr>
        <w:rPr>
          <w:rFonts w:ascii="Calibri" w:eastAsia="Times New Roman" w:hAnsi="Calibri" w:cs="Calibri"/>
          <w:color w:val="000000"/>
          <w:kern w:val="0"/>
          <w:sz w:val="22"/>
          <w:szCs w:val="22"/>
          <w:lang w:eastAsia="cs-CZ"/>
          <w14:ligatures w14:val="none"/>
        </w:rPr>
      </w:pPr>
      <w:r>
        <w:rPr>
          <w:rFonts w:ascii="Calibri" w:eastAsia="Times New Roman" w:hAnsi="Calibri" w:cs="Calibri"/>
          <w:color w:val="000000"/>
          <w:kern w:val="0"/>
          <w:sz w:val="22"/>
          <w:szCs w:val="22"/>
          <w:lang w:eastAsia="cs-CZ"/>
          <w14:ligatures w14:val="none"/>
        </w:rPr>
        <w:t>5.1.2024</w:t>
      </w:r>
    </w:p>
    <w:p w14:paraId="00A52A49" w14:textId="77777777" w:rsidR="004373EB" w:rsidRPr="004373EB" w:rsidRDefault="004373EB" w:rsidP="004373EB">
      <w:pPr>
        <w:pStyle w:val="Nadpis2"/>
        <w:rPr>
          <w:rFonts w:eastAsia="Times New Roman"/>
          <w:lang w:eastAsia="cs-CZ"/>
        </w:rPr>
      </w:pPr>
      <w:r w:rsidRPr="004373EB">
        <w:rPr>
          <w:rFonts w:eastAsia="Times New Roman"/>
          <w:lang w:eastAsia="cs-CZ"/>
        </w:rPr>
        <w:t xml:space="preserve">Oprávněnými příjemci výzvy č. 9 jsou </w:t>
      </w:r>
    </w:p>
    <w:p w14:paraId="5B53D669" w14:textId="77777777" w:rsidR="004373EB" w:rsidRPr="004373EB" w:rsidRDefault="004373EB" w:rsidP="004373EB">
      <w:pPr>
        <w:numPr>
          <w:ilvl w:val="0"/>
          <w:numId w:val="3"/>
        </w:num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color w:val="000000"/>
          <w:kern w:val="0"/>
          <w:sz w:val="22"/>
          <w:szCs w:val="22"/>
          <w:lang w:eastAsia="cs-CZ"/>
          <w14:ligatures w14:val="none"/>
        </w:rPr>
        <w:t xml:space="preserve">především obce a kraje a jejich organizace v tzv. přechodových regionech (Plzeňský, Jihočeský, Středočeský, Jihomoravský kraj a kraj Vysočina). </w:t>
      </w:r>
    </w:p>
    <w:p w14:paraId="3A555436" w14:textId="77777777" w:rsidR="004373EB" w:rsidRPr="004373EB" w:rsidRDefault="004373EB" w:rsidP="004373EB">
      <w:pPr>
        <w:numPr>
          <w:ilvl w:val="0"/>
          <w:numId w:val="3"/>
        </w:num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color w:val="000000"/>
          <w:kern w:val="0"/>
          <w:sz w:val="22"/>
          <w:szCs w:val="22"/>
          <w:lang w:eastAsia="cs-CZ"/>
          <w14:ligatures w14:val="none"/>
        </w:rPr>
        <w:t>organizační složky státu; příspěvkové organizace organizačních složek státu; státní organizace; státní podniky; kraje; obce; organizace zřizované nebo zakládané kraji/obcemi.</w:t>
      </w:r>
    </w:p>
    <w:p w14:paraId="768C674B" w14:textId="77777777" w:rsidR="004373EB" w:rsidRPr="004373EB" w:rsidRDefault="004373EB" w:rsidP="004373EB">
      <w:pPr>
        <w:pStyle w:val="Nadpis2"/>
        <w:rPr>
          <w:rFonts w:eastAsia="Times New Roman"/>
          <w:lang w:eastAsia="cs-CZ"/>
        </w:rPr>
      </w:pPr>
      <w:r w:rsidRPr="004373EB">
        <w:rPr>
          <w:rFonts w:eastAsia="Times New Roman"/>
          <w:lang w:eastAsia="cs-CZ"/>
        </w:rPr>
        <w:t xml:space="preserve">Podporováno je </w:t>
      </w:r>
    </w:p>
    <w:p w14:paraId="0363939F" w14:textId="77777777" w:rsidR="004373EB" w:rsidRPr="004373EB" w:rsidRDefault="004373EB" w:rsidP="004373EB">
      <w:pPr>
        <w:numPr>
          <w:ilvl w:val="0"/>
          <w:numId w:val="3"/>
        </w:num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color w:val="000000"/>
          <w:kern w:val="0"/>
          <w:sz w:val="22"/>
          <w:szCs w:val="22"/>
          <w:lang w:eastAsia="cs-CZ"/>
          <w14:ligatures w14:val="none"/>
        </w:rPr>
        <w:t xml:space="preserve">pořízení nových nebo modernizace stávajících informačních systémů v oblastech, jako je např. elektronizace služeb veřejné správy, rozšíření propojeného datového fondu, integrace elektronických služeb, elektronická identita, </w:t>
      </w:r>
      <w:proofErr w:type="spellStart"/>
      <w:r w:rsidRPr="004373EB">
        <w:rPr>
          <w:rFonts w:ascii="Calibri" w:eastAsia="Times New Roman" w:hAnsi="Calibri" w:cs="Calibri"/>
          <w:color w:val="000000"/>
          <w:kern w:val="0"/>
          <w:sz w:val="22"/>
          <w:szCs w:val="22"/>
          <w:lang w:eastAsia="cs-CZ"/>
          <w14:ligatures w14:val="none"/>
        </w:rPr>
        <w:t>opendata</w:t>
      </w:r>
      <w:proofErr w:type="spellEnd"/>
      <w:r w:rsidRPr="004373EB">
        <w:rPr>
          <w:rFonts w:ascii="Calibri" w:eastAsia="Times New Roman" w:hAnsi="Calibri" w:cs="Calibri"/>
          <w:color w:val="000000"/>
          <w:kern w:val="0"/>
          <w:sz w:val="22"/>
          <w:szCs w:val="22"/>
          <w:lang w:eastAsia="cs-CZ"/>
          <w14:ligatures w14:val="none"/>
        </w:rPr>
        <w:t xml:space="preserve">, portálová řešení, automatizace, centralizace, standardizace apod. </w:t>
      </w:r>
    </w:p>
    <w:p w14:paraId="732FBEAB" w14:textId="639BF105" w:rsidR="004373EB" w:rsidRPr="004373EB" w:rsidRDefault="004373EB" w:rsidP="004373EB">
      <w:pPr>
        <w:numPr>
          <w:ilvl w:val="0"/>
          <w:numId w:val="3"/>
        </w:numPr>
        <w:tabs>
          <w:tab w:val="num" w:pos="720"/>
        </w:tabs>
        <w:rPr>
          <w:rFonts w:ascii="Calibri" w:eastAsia="Times New Roman" w:hAnsi="Calibri" w:cs="Calibri"/>
          <w:color w:val="000000"/>
          <w:kern w:val="0"/>
          <w:sz w:val="22"/>
          <w:szCs w:val="22"/>
          <w:lang w:eastAsia="cs-CZ"/>
          <w14:ligatures w14:val="none"/>
        </w:rPr>
      </w:pPr>
      <w:hyperlink r:id="rId5" w:history="1">
        <w:r w:rsidRPr="004373EB">
          <w:rPr>
            <w:rStyle w:val="Hypertextovodkaz"/>
            <w:rFonts w:ascii="Calibri" w:eastAsia="Times New Roman" w:hAnsi="Calibri" w:cs="Calibri"/>
            <w:kern w:val="0"/>
            <w:sz w:val="22"/>
            <w:szCs w:val="22"/>
            <w:lang w:eastAsia="cs-CZ"/>
            <w14:ligatures w14:val="none"/>
          </w:rPr>
          <w:t>https://irop.mm</w:t>
        </w:r>
        <w:r w:rsidRPr="004373EB">
          <w:rPr>
            <w:rStyle w:val="Hypertextovodkaz"/>
            <w:rFonts w:ascii="Calibri" w:eastAsia="Times New Roman" w:hAnsi="Calibri" w:cs="Calibri"/>
            <w:kern w:val="0"/>
            <w:sz w:val="22"/>
            <w:szCs w:val="22"/>
            <w:lang w:eastAsia="cs-CZ"/>
            <w14:ligatures w14:val="none"/>
          </w:rPr>
          <w:t>r</w:t>
        </w:r>
        <w:r w:rsidRPr="004373EB">
          <w:rPr>
            <w:rStyle w:val="Hypertextovodkaz"/>
            <w:rFonts w:ascii="Calibri" w:eastAsia="Times New Roman" w:hAnsi="Calibri" w:cs="Calibri"/>
            <w:kern w:val="0"/>
            <w:sz w:val="22"/>
            <w:szCs w:val="22"/>
            <w:lang w:eastAsia="cs-CZ"/>
            <w14:ligatures w14:val="none"/>
          </w:rPr>
          <w:t>.cz/cs/vyzvy-2021-2027/vyzvy/9vyzvairop</w:t>
        </w:r>
      </w:hyperlink>
    </w:p>
    <w:p w14:paraId="1885A028" w14:textId="3EB8A117" w:rsidR="004373EB" w:rsidRDefault="004373EB" w:rsidP="004373EB">
      <w:pPr>
        <w:pStyle w:val="Nadpis1"/>
        <w:rPr>
          <w:rFonts w:eastAsia="Times New Roman"/>
          <w:lang w:eastAsia="cs-CZ"/>
        </w:rPr>
      </w:pPr>
      <w:r>
        <w:rPr>
          <w:rFonts w:eastAsia="Times New Roman"/>
          <w:lang w:eastAsia="cs-CZ"/>
        </w:rPr>
        <w:t>Projekty</w:t>
      </w:r>
    </w:p>
    <w:p w14:paraId="06A88586" w14:textId="77777777" w:rsidR="004373EB" w:rsidRDefault="004373EB" w:rsidP="004373EB">
      <w:pPr>
        <w:rPr>
          <w:rFonts w:ascii="Calibri" w:eastAsia="Times New Roman" w:hAnsi="Calibri" w:cs="Calibri"/>
          <w:color w:val="000000"/>
          <w:kern w:val="0"/>
          <w:sz w:val="22"/>
          <w:szCs w:val="22"/>
          <w:lang w:eastAsia="cs-CZ"/>
          <w14:ligatures w14:val="none"/>
        </w:rPr>
      </w:pPr>
    </w:p>
    <w:p w14:paraId="0B1482C3" w14:textId="77777777" w:rsidR="004373EB" w:rsidRPr="004373EB" w:rsidRDefault="004373EB" w:rsidP="004373EB">
      <w:pPr>
        <w:pStyle w:val="Nadpis2"/>
        <w:rPr>
          <w:rFonts w:eastAsia="Times New Roman"/>
          <w:lang w:eastAsia="cs-CZ"/>
        </w:rPr>
      </w:pPr>
      <w:r w:rsidRPr="004373EB">
        <w:rPr>
          <w:rFonts w:eastAsia="Times New Roman"/>
          <w:lang w:eastAsia="cs-CZ"/>
        </w:rPr>
        <w:t>Implementace Katalogu služeb do portálu OVM</w:t>
      </w:r>
    </w:p>
    <w:p w14:paraId="2CE91CCE" w14:textId="77777777" w:rsidR="004373EB" w:rsidRPr="004373EB" w:rsidRDefault="004373EB" w:rsidP="004373EB">
      <w:p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color w:val="000000"/>
          <w:kern w:val="0"/>
          <w:sz w:val="22"/>
          <w:szCs w:val="22"/>
          <w:lang w:eastAsia="cs-CZ"/>
          <w14:ligatures w14:val="none"/>
        </w:rPr>
        <w:t>Vlastní projekt spočívá v integraci Katalogu služeb do portálu OVM tak, aby se data automaticky přebírala z centrálního katalogu</w:t>
      </w:r>
      <w:r w:rsidRPr="004373EB">
        <w:rPr>
          <w:rFonts w:ascii="Calibri" w:eastAsia="Times New Roman" w:hAnsi="Calibri" w:cs="Calibri"/>
          <w:color w:val="000000"/>
          <w:kern w:val="0"/>
          <w:sz w:val="22"/>
          <w:szCs w:val="22"/>
          <w:lang w:eastAsia="cs-CZ"/>
          <w14:ligatures w14:val="none"/>
        </w:rPr>
        <w:br/>
        <w:t>I když v současné době nejsou všechny služby dostupné, budou se automaticky aktualizovat podle toho, jak je budou ohlašovatelé služeb aktualizovat data a linky na elektronické formuláře</w:t>
      </w:r>
      <w:r w:rsidRPr="004373EB">
        <w:rPr>
          <w:rFonts w:ascii="Calibri" w:eastAsia="Times New Roman" w:hAnsi="Calibri" w:cs="Calibri"/>
          <w:color w:val="000000"/>
          <w:kern w:val="0"/>
          <w:sz w:val="22"/>
          <w:szCs w:val="22"/>
          <w:lang w:eastAsia="cs-CZ"/>
          <w14:ligatures w14:val="none"/>
        </w:rPr>
        <w:br/>
        <w:t>Obce a města tak nemají zbytečně plýtvat penězi na vlastní elektronické formuláře, ale naopak musí vynaložit finance na integraci služeb v přenesené působnosti. Vlastní integrace na základě rozhraní nebo otevřených dat nemusí být příliš složitá, je však nutné doplnit katalog o působností informace: Otevírací doba, kontaktní telefony, rezervace návštěv aj.</w:t>
      </w:r>
      <w:r w:rsidRPr="004373EB">
        <w:rPr>
          <w:rFonts w:ascii="Calibri" w:eastAsia="Times New Roman" w:hAnsi="Calibri" w:cs="Calibri"/>
          <w:color w:val="000000"/>
          <w:kern w:val="0"/>
          <w:sz w:val="22"/>
          <w:szCs w:val="22"/>
          <w:lang w:eastAsia="cs-CZ"/>
          <w14:ligatures w14:val="none"/>
        </w:rPr>
        <w:br/>
        <w:t>Na základě služeb lze pak stavět životní situace.</w:t>
      </w:r>
    </w:p>
    <w:p w14:paraId="0602CA85" w14:textId="77777777" w:rsidR="004373EB" w:rsidRPr="004373EB" w:rsidRDefault="004373EB" w:rsidP="004373EB">
      <w:p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color w:val="000000"/>
          <w:kern w:val="0"/>
          <w:sz w:val="22"/>
          <w:szCs w:val="22"/>
          <w:lang w:eastAsia="cs-CZ"/>
          <w14:ligatures w14:val="none"/>
        </w:rPr>
        <w:t> </w:t>
      </w:r>
    </w:p>
    <w:p w14:paraId="342003AE" w14:textId="77777777" w:rsidR="004373EB" w:rsidRPr="004373EB" w:rsidRDefault="004373EB" w:rsidP="004373EB">
      <w:pPr>
        <w:pStyle w:val="Nadpis2"/>
        <w:rPr>
          <w:rFonts w:eastAsia="Times New Roman"/>
          <w:lang w:eastAsia="cs-CZ"/>
        </w:rPr>
      </w:pPr>
      <w:r w:rsidRPr="004373EB">
        <w:rPr>
          <w:rFonts w:eastAsia="Times New Roman"/>
          <w:lang w:eastAsia="cs-CZ"/>
        </w:rPr>
        <w:t>Poplatky v přenesené působnosti</w:t>
      </w:r>
    </w:p>
    <w:p w14:paraId="4B3A049D" w14:textId="77777777" w:rsidR="004373EB" w:rsidRPr="004373EB" w:rsidRDefault="004373EB" w:rsidP="004373EB">
      <w:p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color w:val="000000"/>
          <w:kern w:val="0"/>
          <w:sz w:val="22"/>
          <w:szCs w:val="22"/>
          <w:lang w:eastAsia="cs-CZ"/>
          <w14:ligatures w14:val="none"/>
        </w:rPr>
        <w:t>Cílem projektu zajistit právo na digitální službu pro oblast poplatků v přenesené působnosti. Je potřeba udělat analýzu, jak se poplatky vybírají a jaké informační systémy se na to používají. Následně je nutné vytvořit elektronické formuláře, které by umožnily službu vyřídit, pokud možno včetně zaplacení. Bude nutné se napojit na existující systémy, aby se formuláře předvyplnily v souladu s právem na využívání údajů</w:t>
      </w:r>
      <w:r w:rsidRPr="004373EB">
        <w:rPr>
          <w:rFonts w:ascii="Calibri" w:eastAsia="Times New Roman" w:hAnsi="Calibri" w:cs="Calibri"/>
          <w:color w:val="000000"/>
          <w:kern w:val="0"/>
          <w:sz w:val="22"/>
          <w:szCs w:val="22"/>
          <w:lang w:eastAsia="cs-CZ"/>
          <w14:ligatures w14:val="none"/>
        </w:rPr>
        <w:br/>
        <w:t>Řešení vede na samoobslužný portál, který musí splňovat minimální podmínky pro samoobslužné formuláře</w:t>
      </w:r>
      <w:r w:rsidRPr="004373EB">
        <w:rPr>
          <w:rFonts w:ascii="Calibri" w:eastAsia="Times New Roman" w:hAnsi="Calibri" w:cs="Calibri"/>
          <w:color w:val="000000"/>
          <w:kern w:val="0"/>
          <w:sz w:val="22"/>
          <w:szCs w:val="22"/>
          <w:lang w:eastAsia="cs-CZ"/>
          <w14:ligatures w14:val="none"/>
        </w:rPr>
        <w:br/>
        <w:t>I když v současné době nejsou všechny služby dostupné, budou se automaticky aktualizovat podle toho, jak je budou ohlašovatelé služeb aktualizovat data a linky na elektronické formuláře</w:t>
      </w:r>
    </w:p>
    <w:p w14:paraId="0BCFC76E" w14:textId="77777777" w:rsidR="004373EB" w:rsidRPr="004373EB" w:rsidRDefault="004373EB" w:rsidP="004373EB">
      <w:p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color w:val="000000"/>
          <w:kern w:val="0"/>
          <w:sz w:val="22"/>
          <w:szCs w:val="22"/>
          <w:lang w:eastAsia="cs-CZ"/>
          <w14:ligatures w14:val="none"/>
        </w:rPr>
        <w:t> </w:t>
      </w:r>
    </w:p>
    <w:p w14:paraId="3D226E4C" w14:textId="77777777" w:rsidR="004373EB" w:rsidRPr="004373EB" w:rsidRDefault="004373EB" w:rsidP="004373EB">
      <w:p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b/>
          <w:bCs/>
          <w:color w:val="000000"/>
          <w:kern w:val="0"/>
          <w:sz w:val="22"/>
          <w:szCs w:val="22"/>
          <w:lang w:eastAsia="cs-CZ"/>
          <w14:ligatures w14:val="none"/>
        </w:rPr>
        <w:t>Katalog služeb pro služby v samostatné působnosti</w:t>
      </w:r>
    </w:p>
    <w:p w14:paraId="7FE101CD" w14:textId="707A4BAB" w:rsidR="004373EB" w:rsidRDefault="004373EB" w:rsidP="004373EB">
      <w:p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color w:val="000000"/>
          <w:kern w:val="0"/>
          <w:sz w:val="22"/>
          <w:szCs w:val="22"/>
          <w:lang w:eastAsia="cs-CZ"/>
          <w14:ligatures w14:val="none"/>
        </w:rPr>
        <w:lastRenderedPageBreak/>
        <w:t>Cílem projektu vytvořit federovaný katalog služeb ve stejné struktuře jako je Katalog služeb státní správy pro samostatnou působnost a soukromoprávní služby</w:t>
      </w:r>
      <w:r w:rsidRPr="004373EB">
        <w:rPr>
          <w:rFonts w:ascii="Calibri" w:eastAsia="Times New Roman" w:hAnsi="Calibri" w:cs="Calibri"/>
          <w:color w:val="000000"/>
          <w:kern w:val="0"/>
          <w:sz w:val="22"/>
          <w:szCs w:val="22"/>
          <w:lang w:eastAsia="cs-CZ"/>
          <w14:ligatures w14:val="none"/>
        </w:rPr>
        <w:br/>
        <w:t>Cílem je vybudovat editovatelný katalog služeb kompatibilní s Katalogem služeb státní správy a propojit tyto dva katalogy na úrovni portálu města</w:t>
      </w:r>
      <w:r w:rsidRPr="004373EB">
        <w:rPr>
          <w:rFonts w:ascii="Calibri" w:eastAsia="Times New Roman" w:hAnsi="Calibri" w:cs="Calibri"/>
          <w:color w:val="000000"/>
          <w:kern w:val="0"/>
          <w:sz w:val="22"/>
          <w:szCs w:val="22"/>
          <w:lang w:eastAsia="cs-CZ"/>
          <w14:ligatures w14:val="none"/>
        </w:rPr>
        <w:br/>
        <w:t>Následně vytvořit životní situace od státních po soukromoprávní služby</w:t>
      </w:r>
    </w:p>
    <w:p w14:paraId="21C9B31D" w14:textId="1FF959D6" w:rsidR="004373EB" w:rsidRPr="004373EB" w:rsidRDefault="004373EB" w:rsidP="004373EB">
      <w:pPr>
        <w:pStyle w:val="Nadpis1"/>
        <w:rPr>
          <w:rFonts w:eastAsia="Times New Roman"/>
          <w:lang w:eastAsia="cs-CZ"/>
        </w:rPr>
      </w:pPr>
      <w:r>
        <w:rPr>
          <w:rFonts w:eastAsia="Times New Roman"/>
          <w:lang w:eastAsia="cs-CZ"/>
        </w:rPr>
        <w:t>Nové funkcionality</w:t>
      </w:r>
    </w:p>
    <w:p w14:paraId="79418335" w14:textId="48359BF8" w:rsidR="004373EB" w:rsidRPr="004373EB" w:rsidRDefault="004373EB" w:rsidP="004373EB">
      <w:p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color w:val="000000"/>
          <w:kern w:val="0"/>
          <w:sz w:val="22"/>
          <w:szCs w:val="22"/>
          <w:lang w:eastAsia="cs-CZ"/>
          <w14:ligatures w14:val="none"/>
        </w:rPr>
        <w:t>Žadatel pro potřeby posouzení svého záměru může uvést následující 3 nové funkcionality, pokud žadatel realizuje všechny potřebné výstupy pro realizaci požadavků ZoPDS v samosprávách (Napojení na centrální Katalog služeb VS, vytvoření lokálního katalogu služeb pro samosprávné služby, realizaci místních poplatků jako digitální službu)</w:t>
      </w:r>
    </w:p>
    <w:p w14:paraId="61538588" w14:textId="77777777" w:rsidR="004373EB" w:rsidRPr="004373EB" w:rsidRDefault="004373EB" w:rsidP="004373EB">
      <w:pPr>
        <w:numPr>
          <w:ilvl w:val="1"/>
          <w:numId w:val="2"/>
        </w:num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b/>
          <w:bCs/>
          <w:color w:val="000000"/>
          <w:kern w:val="0"/>
          <w:sz w:val="22"/>
          <w:szCs w:val="22"/>
          <w:lang w:eastAsia="cs-CZ"/>
          <w14:ligatures w14:val="none"/>
        </w:rPr>
        <w:t>nová samoobslužná služba veřejné správy z katalogu služeb veřejné správy;</w:t>
      </w:r>
    </w:p>
    <w:p w14:paraId="5C36A738" w14:textId="77777777" w:rsidR="004373EB" w:rsidRPr="004373EB" w:rsidRDefault="004373EB" w:rsidP="004373EB">
      <w:pPr>
        <w:numPr>
          <w:ilvl w:val="1"/>
          <w:numId w:val="2"/>
        </w:num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b/>
          <w:bCs/>
          <w:color w:val="000000"/>
          <w:kern w:val="0"/>
          <w:sz w:val="22"/>
          <w:szCs w:val="22"/>
          <w:lang w:eastAsia="cs-CZ"/>
          <w14:ligatures w14:val="none"/>
        </w:rPr>
        <w:t>zavádění povinností dle Zákona o právu na digitální služby</w:t>
      </w:r>
    </w:p>
    <w:p w14:paraId="37B9F001" w14:textId="77777777" w:rsidR="004373EB" w:rsidRPr="004373EB" w:rsidRDefault="004373EB" w:rsidP="004373EB">
      <w:pPr>
        <w:numPr>
          <w:ilvl w:val="1"/>
          <w:numId w:val="2"/>
        </w:num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b/>
          <w:bCs/>
          <w:color w:val="000000"/>
          <w:kern w:val="0"/>
          <w:sz w:val="22"/>
          <w:szCs w:val="22"/>
          <w:lang w:eastAsia="cs-CZ"/>
          <w14:ligatures w14:val="none"/>
        </w:rPr>
        <w:t>vytvoření lokálního katalogu samosprávných služeb a napojení na centrální katalog služeb veřejné správy</w:t>
      </w:r>
    </w:p>
    <w:p w14:paraId="733915F9" w14:textId="77777777" w:rsidR="004373EB" w:rsidRPr="004373EB" w:rsidRDefault="004373EB" w:rsidP="004373EB">
      <w:p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color w:val="000000"/>
          <w:kern w:val="0"/>
          <w:sz w:val="22"/>
          <w:szCs w:val="22"/>
          <w:lang w:eastAsia="cs-CZ"/>
          <w14:ligatures w14:val="none"/>
        </w:rPr>
        <w:t>Jelikož jsou 2 ze tří funkcionalit mimo indikativní seznam dle Specifických pravidel pro žadatele a příjemce, je nutné je speciálně uvést ve studii proveditelnosti jako navržené nové funkcionality, které následně odbor Hlavního architekta eGovernmentu schválí.</w:t>
      </w:r>
    </w:p>
    <w:p w14:paraId="700CF9D3" w14:textId="77777777" w:rsidR="004373EB" w:rsidRPr="004373EB" w:rsidRDefault="004373EB" w:rsidP="004373EB">
      <w:p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color w:val="000000"/>
          <w:kern w:val="0"/>
          <w:sz w:val="22"/>
          <w:szCs w:val="22"/>
          <w:lang w:eastAsia="cs-CZ"/>
          <w14:ligatures w14:val="none"/>
        </w:rPr>
        <w:t>V případě, že žadatel nebude realizovat všechny potřebné výstupy, musí přijít s vlastním návrhem nové funkcionality, případně vybrat z indikativního seznamu. Upozorňujeme však, že posuzování uznání nové funkcionality je vždy v pravomoci odboru Hlavního architekta eGovernmentu a nelze například uznat jako novou funkcionalitu „využívání služeb Národní bodu pro identifikaci a autentizaci“, když jsou služby na portále již využívány.</w:t>
      </w:r>
    </w:p>
    <w:p w14:paraId="3CD903F8" w14:textId="77777777" w:rsidR="004373EB" w:rsidRPr="004373EB" w:rsidRDefault="004373EB" w:rsidP="004373EB">
      <w:pPr>
        <w:rPr>
          <w:rFonts w:ascii="Calibri" w:eastAsia="Times New Roman" w:hAnsi="Calibri" w:cs="Calibri"/>
          <w:color w:val="000000"/>
          <w:kern w:val="0"/>
          <w:sz w:val="22"/>
          <w:szCs w:val="22"/>
          <w:lang w:eastAsia="cs-CZ"/>
          <w14:ligatures w14:val="none"/>
        </w:rPr>
      </w:pPr>
      <w:r w:rsidRPr="004373EB">
        <w:rPr>
          <w:rFonts w:ascii="Calibri" w:eastAsia="Times New Roman" w:hAnsi="Calibri" w:cs="Calibri"/>
          <w:color w:val="000000"/>
          <w:kern w:val="0"/>
          <w:sz w:val="22"/>
          <w:szCs w:val="22"/>
          <w:lang w:eastAsia="cs-CZ"/>
          <w14:ligatures w14:val="none"/>
        </w:rPr>
        <w:t>Pokud žadatele nebude implementovat ani jeden z požadavků ZoPDS, nebude mu ze strany odboru Hlavního architekta eGovernmentu vydáno souhlasné stanovisko.</w:t>
      </w:r>
    </w:p>
    <w:p w14:paraId="04555C6E" w14:textId="77777777" w:rsidR="00000000" w:rsidRDefault="00000000"/>
    <w:sectPr w:rsidR="00841D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tandardní systémové písmo">
    <w:altName w:val="Cambria"/>
    <w:panose1 w:val="020B0604020202020204"/>
    <w:charset w:val="00"/>
    <w:family w:val="roman"/>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4D03F6"/>
    <w:multiLevelType w:val="hybridMultilevel"/>
    <w:tmpl w:val="3B22ED7C"/>
    <w:lvl w:ilvl="0" w:tplc="4210E2B2">
      <w:start w:val="1"/>
      <w:numFmt w:val="decimal"/>
      <w:pStyle w:val="Sodrkami"/>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CA606FC"/>
    <w:multiLevelType w:val="multilevel"/>
    <w:tmpl w:val="60CCE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2257885"/>
    <w:multiLevelType w:val="hybridMultilevel"/>
    <w:tmpl w:val="9BC433A4"/>
    <w:lvl w:ilvl="0" w:tplc="94A26F1E">
      <w:start w:val="1"/>
      <w:numFmt w:val="bullet"/>
      <w:lvlText w:val="&gt;"/>
      <w:lvlJc w:val="left"/>
      <w:pPr>
        <w:tabs>
          <w:tab w:val="num" w:pos="720"/>
        </w:tabs>
        <w:ind w:left="720" w:hanging="360"/>
      </w:pPr>
      <w:rPr>
        <w:rFonts w:ascii="Standardní systémové písmo" w:hAnsi="Standardní systémové písmo" w:hint="default"/>
      </w:rPr>
    </w:lvl>
    <w:lvl w:ilvl="1" w:tplc="2DC08370" w:tentative="1">
      <w:start w:val="1"/>
      <w:numFmt w:val="bullet"/>
      <w:lvlText w:val="&gt;"/>
      <w:lvlJc w:val="left"/>
      <w:pPr>
        <w:tabs>
          <w:tab w:val="num" w:pos="1440"/>
        </w:tabs>
        <w:ind w:left="1440" w:hanging="360"/>
      </w:pPr>
      <w:rPr>
        <w:rFonts w:ascii="Standardní systémové písmo" w:hAnsi="Standardní systémové písmo" w:hint="default"/>
      </w:rPr>
    </w:lvl>
    <w:lvl w:ilvl="2" w:tplc="DD2A358A" w:tentative="1">
      <w:start w:val="1"/>
      <w:numFmt w:val="bullet"/>
      <w:lvlText w:val="&gt;"/>
      <w:lvlJc w:val="left"/>
      <w:pPr>
        <w:tabs>
          <w:tab w:val="num" w:pos="2160"/>
        </w:tabs>
        <w:ind w:left="2160" w:hanging="360"/>
      </w:pPr>
      <w:rPr>
        <w:rFonts w:ascii="Standardní systémové písmo" w:hAnsi="Standardní systémové písmo" w:hint="default"/>
      </w:rPr>
    </w:lvl>
    <w:lvl w:ilvl="3" w:tplc="55D6694A" w:tentative="1">
      <w:start w:val="1"/>
      <w:numFmt w:val="bullet"/>
      <w:lvlText w:val="&gt;"/>
      <w:lvlJc w:val="left"/>
      <w:pPr>
        <w:tabs>
          <w:tab w:val="num" w:pos="2880"/>
        </w:tabs>
        <w:ind w:left="2880" w:hanging="360"/>
      </w:pPr>
      <w:rPr>
        <w:rFonts w:ascii="Standardní systémové písmo" w:hAnsi="Standardní systémové písmo" w:hint="default"/>
      </w:rPr>
    </w:lvl>
    <w:lvl w:ilvl="4" w:tplc="980CA592" w:tentative="1">
      <w:start w:val="1"/>
      <w:numFmt w:val="bullet"/>
      <w:lvlText w:val="&gt;"/>
      <w:lvlJc w:val="left"/>
      <w:pPr>
        <w:tabs>
          <w:tab w:val="num" w:pos="3600"/>
        </w:tabs>
        <w:ind w:left="3600" w:hanging="360"/>
      </w:pPr>
      <w:rPr>
        <w:rFonts w:ascii="Standardní systémové písmo" w:hAnsi="Standardní systémové písmo" w:hint="default"/>
      </w:rPr>
    </w:lvl>
    <w:lvl w:ilvl="5" w:tplc="3A52EEF4" w:tentative="1">
      <w:start w:val="1"/>
      <w:numFmt w:val="bullet"/>
      <w:lvlText w:val="&gt;"/>
      <w:lvlJc w:val="left"/>
      <w:pPr>
        <w:tabs>
          <w:tab w:val="num" w:pos="4320"/>
        </w:tabs>
        <w:ind w:left="4320" w:hanging="360"/>
      </w:pPr>
      <w:rPr>
        <w:rFonts w:ascii="Standardní systémové písmo" w:hAnsi="Standardní systémové písmo" w:hint="default"/>
      </w:rPr>
    </w:lvl>
    <w:lvl w:ilvl="6" w:tplc="BF42EFCE" w:tentative="1">
      <w:start w:val="1"/>
      <w:numFmt w:val="bullet"/>
      <w:lvlText w:val="&gt;"/>
      <w:lvlJc w:val="left"/>
      <w:pPr>
        <w:tabs>
          <w:tab w:val="num" w:pos="5040"/>
        </w:tabs>
        <w:ind w:left="5040" w:hanging="360"/>
      </w:pPr>
      <w:rPr>
        <w:rFonts w:ascii="Standardní systémové písmo" w:hAnsi="Standardní systémové písmo" w:hint="default"/>
      </w:rPr>
    </w:lvl>
    <w:lvl w:ilvl="7" w:tplc="5F3045C0" w:tentative="1">
      <w:start w:val="1"/>
      <w:numFmt w:val="bullet"/>
      <w:lvlText w:val="&gt;"/>
      <w:lvlJc w:val="left"/>
      <w:pPr>
        <w:tabs>
          <w:tab w:val="num" w:pos="5760"/>
        </w:tabs>
        <w:ind w:left="5760" w:hanging="360"/>
      </w:pPr>
      <w:rPr>
        <w:rFonts w:ascii="Standardní systémové písmo" w:hAnsi="Standardní systémové písmo" w:hint="default"/>
      </w:rPr>
    </w:lvl>
    <w:lvl w:ilvl="8" w:tplc="60BC8D9E" w:tentative="1">
      <w:start w:val="1"/>
      <w:numFmt w:val="bullet"/>
      <w:lvlText w:val="&gt;"/>
      <w:lvlJc w:val="left"/>
      <w:pPr>
        <w:tabs>
          <w:tab w:val="num" w:pos="6480"/>
        </w:tabs>
        <w:ind w:left="6480" w:hanging="360"/>
      </w:pPr>
      <w:rPr>
        <w:rFonts w:ascii="Standardní systémové písmo" w:hAnsi="Standardní systémové písmo" w:hint="default"/>
      </w:rPr>
    </w:lvl>
  </w:abstractNum>
  <w:abstractNum w:abstractNumId="3" w15:restartNumberingAfterBreak="0">
    <w:nsid w:val="73F54837"/>
    <w:multiLevelType w:val="hybridMultilevel"/>
    <w:tmpl w:val="6FB4DEF2"/>
    <w:lvl w:ilvl="0" w:tplc="8C8C4F88">
      <w:start w:val="1"/>
      <w:numFmt w:val="bullet"/>
      <w:lvlText w:val="&gt;"/>
      <w:lvlJc w:val="left"/>
      <w:pPr>
        <w:tabs>
          <w:tab w:val="num" w:pos="360"/>
        </w:tabs>
        <w:ind w:left="360" w:hanging="360"/>
      </w:pPr>
      <w:rPr>
        <w:rFonts w:ascii="Standardní systémové písmo" w:hAnsi="Standardní systémové písmo" w:hint="default"/>
      </w:rPr>
    </w:lvl>
    <w:lvl w:ilvl="1" w:tplc="8AD8ECFE">
      <w:numFmt w:val="bullet"/>
      <w:lvlText w:val="o"/>
      <w:lvlJc w:val="left"/>
      <w:pPr>
        <w:tabs>
          <w:tab w:val="num" w:pos="1080"/>
        </w:tabs>
        <w:ind w:left="1080" w:hanging="360"/>
      </w:pPr>
      <w:rPr>
        <w:rFonts w:ascii="Courier New" w:hAnsi="Courier New" w:hint="default"/>
      </w:rPr>
    </w:lvl>
    <w:lvl w:ilvl="2" w:tplc="5DD4FF58" w:tentative="1">
      <w:start w:val="1"/>
      <w:numFmt w:val="bullet"/>
      <w:lvlText w:val="&gt;"/>
      <w:lvlJc w:val="left"/>
      <w:pPr>
        <w:tabs>
          <w:tab w:val="num" w:pos="1800"/>
        </w:tabs>
        <w:ind w:left="1800" w:hanging="360"/>
      </w:pPr>
      <w:rPr>
        <w:rFonts w:ascii="Standardní systémové písmo" w:hAnsi="Standardní systémové písmo" w:hint="default"/>
      </w:rPr>
    </w:lvl>
    <w:lvl w:ilvl="3" w:tplc="9B28C176" w:tentative="1">
      <w:start w:val="1"/>
      <w:numFmt w:val="bullet"/>
      <w:lvlText w:val="&gt;"/>
      <w:lvlJc w:val="left"/>
      <w:pPr>
        <w:tabs>
          <w:tab w:val="num" w:pos="2520"/>
        </w:tabs>
        <w:ind w:left="2520" w:hanging="360"/>
      </w:pPr>
      <w:rPr>
        <w:rFonts w:ascii="Standardní systémové písmo" w:hAnsi="Standardní systémové písmo" w:hint="default"/>
      </w:rPr>
    </w:lvl>
    <w:lvl w:ilvl="4" w:tplc="85300F8A" w:tentative="1">
      <w:start w:val="1"/>
      <w:numFmt w:val="bullet"/>
      <w:lvlText w:val="&gt;"/>
      <w:lvlJc w:val="left"/>
      <w:pPr>
        <w:tabs>
          <w:tab w:val="num" w:pos="3240"/>
        </w:tabs>
        <w:ind w:left="3240" w:hanging="360"/>
      </w:pPr>
      <w:rPr>
        <w:rFonts w:ascii="Standardní systémové písmo" w:hAnsi="Standardní systémové písmo" w:hint="default"/>
      </w:rPr>
    </w:lvl>
    <w:lvl w:ilvl="5" w:tplc="7AC8C436" w:tentative="1">
      <w:start w:val="1"/>
      <w:numFmt w:val="bullet"/>
      <w:lvlText w:val="&gt;"/>
      <w:lvlJc w:val="left"/>
      <w:pPr>
        <w:tabs>
          <w:tab w:val="num" w:pos="3960"/>
        </w:tabs>
        <w:ind w:left="3960" w:hanging="360"/>
      </w:pPr>
      <w:rPr>
        <w:rFonts w:ascii="Standardní systémové písmo" w:hAnsi="Standardní systémové písmo" w:hint="default"/>
      </w:rPr>
    </w:lvl>
    <w:lvl w:ilvl="6" w:tplc="DD222286" w:tentative="1">
      <w:start w:val="1"/>
      <w:numFmt w:val="bullet"/>
      <w:lvlText w:val="&gt;"/>
      <w:lvlJc w:val="left"/>
      <w:pPr>
        <w:tabs>
          <w:tab w:val="num" w:pos="4680"/>
        </w:tabs>
        <w:ind w:left="4680" w:hanging="360"/>
      </w:pPr>
      <w:rPr>
        <w:rFonts w:ascii="Standardní systémové písmo" w:hAnsi="Standardní systémové písmo" w:hint="default"/>
      </w:rPr>
    </w:lvl>
    <w:lvl w:ilvl="7" w:tplc="DD686CD8" w:tentative="1">
      <w:start w:val="1"/>
      <w:numFmt w:val="bullet"/>
      <w:lvlText w:val="&gt;"/>
      <w:lvlJc w:val="left"/>
      <w:pPr>
        <w:tabs>
          <w:tab w:val="num" w:pos="5400"/>
        </w:tabs>
        <w:ind w:left="5400" w:hanging="360"/>
      </w:pPr>
      <w:rPr>
        <w:rFonts w:ascii="Standardní systémové písmo" w:hAnsi="Standardní systémové písmo" w:hint="default"/>
      </w:rPr>
    </w:lvl>
    <w:lvl w:ilvl="8" w:tplc="39ACE2DA" w:tentative="1">
      <w:start w:val="1"/>
      <w:numFmt w:val="bullet"/>
      <w:lvlText w:val="&gt;"/>
      <w:lvlJc w:val="left"/>
      <w:pPr>
        <w:tabs>
          <w:tab w:val="num" w:pos="6120"/>
        </w:tabs>
        <w:ind w:left="6120" w:hanging="360"/>
      </w:pPr>
      <w:rPr>
        <w:rFonts w:ascii="Standardní systémové písmo" w:hAnsi="Standardní systémové písmo" w:hint="default"/>
      </w:rPr>
    </w:lvl>
  </w:abstractNum>
  <w:num w:numId="1" w16cid:durableId="362680050">
    <w:abstractNumId w:val="0"/>
  </w:num>
  <w:num w:numId="2" w16cid:durableId="803693538">
    <w:abstractNumId w:val="1"/>
  </w:num>
  <w:num w:numId="3" w16cid:durableId="834106581">
    <w:abstractNumId w:val="3"/>
  </w:num>
  <w:num w:numId="4" w16cid:durableId="1001056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3EB"/>
    <w:rsid w:val="000300D5"/>
    <w:rsid w:val="000325B6"/>
    <w:rsid w:val="002D69A3"/>
    <w:rsid w:val="004373EB"/>
    <w:rsid w:val="005255DA"/>
    <w:rsid w:val="00715DD8"/>
    <w:rsid w:val="008370AC"/>
    <w:rsid w:val="00893B0B"/>
    <w:rsid w:val="009D1A59"/>
    <w:rsid w:val="00B95B29"/>
    <w:rsid w:val="00BF422F"/>
    <w:rsid w:val="00FE3F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1AF1D6F4"/>
  <w15:chartTrackingRefBased/>
  <w15:docId w15:val="{71749EB7-6A27-4944-BE6D-62355D97E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373E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4373E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odrkami">
    <w:name w:val="S odrážkami"/>
    <w:basedOn w:val="Normln"/>
    <w:autoRedefine/>
    <w:qFormat/>
    <w:rsid w:val="000300D5"/>
    <w:pPr>
      <w:numPr>
        <w:numId w:val="1"/>
      </w:numPr>
    </w:pPr>
  </w:style>
  <w:style w:type="paragraph" w:styleId="Nzev">
    <w:name w:val="Title"/>
    <w:basedOn w:val="Normln"/>
    <w:next w:val="Normln"/>
    <w:link w:val="NzevChar"/>
    <w:uiPriority w:val="10"/>
    <w:qFormat/>
    <w:rsid w:val="004373EB"/>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373EB"/>
    <w:rPr>
      <w:rFonts w:asciiTheme="majorHAnsi" w:eastAsiaTheme="majorEastAsia" w:hAnsiTheme="majorHAnsi" w:cstheme="majorBidi"/>
      <w:spacing w:val="-10"/>
      <w:kern w:val="28"/>
      <w:sz w:val="56"/>
      <w:szCs w:val="56"/>
    </w:rPr>
  </w:style>
  <w:style w:type="character" w:styleId="Hypertextovodkaz">
    <w:name w:val="Hyperlink"/>
    <w:basedOn w:val="Standardnpsmoodstavce"/>
    <w:uiPriority w:val="99"/>
    <w:unhideWhenUsed/>
    <w:rsid w:val="004373EB"/>
    <w:rPr>
      <w:color w:val="0563C1" w:themeColor="hyperlink"/>
      <w:u w:val="single"/>
    </w:rPr>
  </w:style>
  <w:style w:type="character" w:styleId="Nevyeenzmnka">
    <w:name w:val="Unresolved Mention"/>
    <w:basedOn w:val="Standardnpsmoodstavce"/>
    <w:uiPriority w:val="99"/>
    <w:semiHidden/>
    <w:unhideWhenUsed/>
    <w:rsid w:val="004373EB"/>
    <w:rPr>
      <w:color w:val="605E5C"/>
      <w:shd w:val="clear" w:color="auto" w:fill="E1DFDD"/>
    </w:rPr>
  </w:style>
  <w:style w:type="character" w:customStyle="1" w:styleId="Nadpis1Char">
    <w:name w:val="Nadpis 1 Char"/>
    <w:basedOn w:val="Standardnpsmoodstavce"/>
    <w:link w:val="Nadpis1"/>
    <w:uiPriority w:val="9"/>
    <w:rsid w:val="004373EB"/>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4373EB"/>
    <w:rPr>
      <w:rFonts w:asciiTheme="majorHAnsi" w:eastAsiaTheme="majorEastAsia" w:hAnsiTheme="majorHAnsi" w:cstheme="majorBidi"/>
      <w:color w:val="2F5496" w:themeColor="accent1" w:themeShade="BF"/>
      <w:sz w:val="26"/>
      <w:szCs w:val="26"/>
    </w:rPr>
  </w:style>
  <w:style w:type="character" w:styleId="Sledovanodkaz">
    <w:name w:val="FollowedHyperlink"/>
    <w:basedOn w:val="Standardnpsmoodstavce"/>
    <w:uiPriority w:val="99"/>
    <w:semiHidden/>
    <w:unhideWhenUsed/>
    <w:rsid w:val="004373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599065">
      <w:bodyDiv w:val="1"/>
      <w:marLeft w:val="0"/>
      <w:marRight w:val="0"/>
      <w:marTop w:val="0"/>
      <w:marBottom w:val="0"/>
      <w:divBdr>
        <w:top w:val="none" w:sz="0" w:space="0" w:color="auto"/>
        <w:left w:val="none" w:sz="0" w:space="0" w:color="auto"/>
        <w:bottom w:val="none" w:sz="0" w:space="0" w:color="auto"/>
        <w:right w:val="none" w:sz="0" w:space="0" w:color="auto"/>
      </w:divBdr>
    </w:div>
    <w:div w:id="451365766">
      <w:bodyDiv w:val="1"/>
      <w:marLeft w:val="0"/>
      <w:marRight w:val="0"/>
      <w:marTop w:val="0"/>
      <w:marBottom w:val="0"/>
      <w:divBdr>
        <w:top w:val="none" w:sz="0" w:space="0" w:color="auto"/>
        <w:left w:val="none" w:sz="0" w:space="0" w:color="auto"/>
        <w:bottom w:val="none" w:sz="0" w:space="0" w:color="auto"/>
        <w:right w:val="none" w:sz="0" w:space="0" w:color="auto"/>
      </w:divBdr>
    </w:div>
    <w:div w:id="639923886">
      <w:bodyDiv w:val="1"/>
      <w:marLeft w:val="0"/>
      <w:marRight w:val="0"/>
      <w:marTop w:val="0"/>
      <w:marBottom w:val="0"/>
      <w:divBdr>
        <w:top w:val="none" w:sz="0" w:space="0" w:color="auto"/>
        <w:left w:val="none" w:sz="0" w:space="0" w:color="auto"/>
        <w:bottom w:val="none" w:sz="0" w:space="0" w:color="auto"/>
        <w:right w:val="none" w:sz="0" w:space="0" w:color="auto"/>
      </w:divBdr>
      <w:divsChild>
        <w:div w:id="969941877">
          <w:marLeft w:val="547"/>
          <w:marRight w:val="0"/>
          <w:marTop w:val="150"/>
          <w:marBottom w:val="0"/>
          <w:divBdr>
            <w:top w:val="none" w:sz="0" w:space="0" w:color="auto"/>
            <w:left w:val="none" w:sz="0" w:space="0" w:color="auto"/>
            <w:bottom w:val="none" w:sz="0" w:space="0" w:color="auto"/>
            <w:right w:val="none" w:sz="0" w:space="0" w:color="auto"/>
          </w:divBdr>
        </w:div>
        <w:div w:id="1268466510">
          <w:marLeft w:val="547"/>
          <w:marRight w:val="0"/>
          <w:marTop w:val="150"/>
          <w:marBottom w:val="0"/>
          <w:divBdr>
            <w:top w:val="none" w:sz="0" w:space="0" w:color="auto"/>
            <w:left w:val="none" w:sz="0" w:space="0" w:color="auto"/>
            <w:bottom w:val="none" w:sz="0" w:space="0" w:color="auto"/>
            <w:right w:val="none" w:sz="0" w:space="0" w:color="auto"/>
          </w:divBdr>
        </w:div>
      </w:divsChild>
    </w:div>
    <w:div w:id="1079794987">
      <w:bodyDiv w:val="1"/>
      <w:marLeft w:val="0"/>
      <w:marRight w:val="0"/>
      <w:marTop w:val="0"/>
      <w:marBottom w:val="0"/>
      <w:divBdr>
        <w:top w:val="none" w:sz="0" w:space="0" w:color="auto"/>
        <w:left w:val="none" w:sz="0" w:space="0" w:color="auto"/>
        <w:bottom w:val="none" w:sz="0" w:space="0" w:color="auto"/>
        <w:right w:val="none" w:sz="0" w:space="0" w:color="auto"/>
      </w:divBdr>
      <w:divsChild>
        <w:div w:id="1269241603">
          <w:marLeft w:val="547"/>
          <w:marRight w:val="0"/>
          <w:marTop w:val="150"/>
          <w:marBottom w:val="0"/>
          <w:divBdr>
            <w:top w:val="none" w:sz="0" w:space="0" w:color="auto"/>
            <w:left w:val="none" w:sz="0" w:space="0" w:color="auto"/>
            <w:bottom w:val="none" w:sz="0" w:space="0" w:color="auto"/>
            <w:right w:val="none" w:sz="0" w:space="0" w:color="auto"/>
          </w:divBdr>
        </w:div>
        <w:div w:id="853224505">
          <w:marLeft w:val="1267"/>
          <w:marRight w:val="0"/>
          <w:marTop w:val="75"/>
          <w:marBottom w:val="0"/>
          <w:divBdr>
            <w:top w:val="none" w:sz="0" w:space="0" w:color="auto"/>
            <w:left w:val="none" w:sz="0" w:space="0" w:color="auto"/>
            <w:bottom w:val="none" w:sz="0" w:space="0" w:color="auto"/>
            <w:right w:val="none" w:sz="0" w:space="0" w:color="auto"/>
          </w:divBdr>
        </w:div>
        <w:div w:id="781655228">
          <w:marLeft w:val="547"/>
          <w:marRight w:val="0"/>
          <w:marTop w:val="150"/>
          <w:marBottom w:val="0"/>
          <w:divBdr>
            <w:top w:val="none" w:sz="0" w:space="0" w:color="auto"/>
            <w:left w:val="none" w:sz="0" w:space="0" w:color="auto"/>
            <w:bottom w:val="none" w:sz="0" w:space="0" w:color="auto"/>
            <w:right w:val="none" w:sz="0" w:space="0" w:color="auto"/>
          </w:divBdr>
        </w:div>
        <w:div w:id="1526553914">
          <w:marLeft w:val="1267"/>
          <w:marRight w:val="0"/>
          <w:marTop w:val="75"/>
          <w:marBottom w:val="0"/>
          <w:divBdr>
            <w:top w:val="none" w:sz="0" w:space="0" w:color="auto"/>
            <w:left w:val="none" w:sz="0" w:space="0" w:color="auto"/>
            <w:bottom w:val="none" w:sz="0" w:space="0" w:color="auto"/>
            <w:right w:val="none" w:sz="0" w:space="0" w:color="auto"/>
          </w:divBdr>
        </w:div>
        <w:div w:id="1541474486">
          <w:marLeft w:val="547"/>
          <w:marRight w:val="0"/>
          <w:marTop w:val="150"/>
          <w:marBottom w:val="0"/>
          <w:divBdr>
            <w:top w:val="none" w:sz="0" w:space="0" w:color="auto"/>
            <w:left w:val="none" w:sz="0" w:space="0" w:color="auto"/>
            <w:bottom w:val="none" w:sz="0" w:space="0" w:color="auto"/>
            <w:right w:val="none" w:sz="0" w:space="0" w:color="auto"/>
          </w:divBdr>
        </w:div>
        <w:div w:id="2020422530">
          <w:marLeft w:val="1267"/>
          <w:marRight w:val="0"/>
          <w:marTop w:val="75"/>
          <w:marBottom w:val="0"/>
          <w:divBdr>
            <w:top w:val="none" w:sz="0" w:space="0" w:color="auto"/>
            <w:left w:val="none" w:sz="0" w:space="0" w:color="auto"/>
            <w:bottom w:val="none" w:sz="0" w:space="0" w:color="auto"/>
            <w:right w:val="none" w:sz="0" w:space="0" w:color="auto"/>
          </w:divBdr>
        </w:div>
        <w:div w:id="1550189154">
          <w:marLeft w:val="1267"/>
          <w:marRight w:val="0"/>
          <w:marTop w:val="75"/>
          <w:marBottom w:val="0"/>
          <w:divBdr>
            <w:top w:val="none" w:sz="0" w:space="0" w:color="auto"/>
            <w:left w:val="none" w:sz="0" w:space="0" w:color="auto"/>
            <w:bottom w:val="none" w:sz="0" w:space="0" w:color="auto"/>
            <w:right w:val="none" w:sz="0" w:space="0" w:color="auto"/>
          </w:divBdr>
        </w:div>
        <w:div w:id="1433090376">
          <w:marLeft w:val="547"/>
          <w:marRight w:val="0"/>
          <w:marTop w:val="150"/>
          <w:marBottom w:val="0"/>
          <w:divBdr>
            <w:top w:val="none" w:sz="0" w:space="0" w:color="auto"/>
            <w:left w:val="none" w:sz="0" w:space="0" w:color="auto"/>
            <w:bottom w:val="none" w:sz="0" w:space="0" w:color="auto"/>
            <w:right w:val="none" w:sz="0" w:space="0" w:color="auto"/>
          </w:divBdr>
        </w:div>
        <w:div w:id="859003702">
          <w:marLeft w:val="1267"/>
          <w:marRight w:val="0"/>
          <w:marTop w:val="75"/>
          <w:marBottom w:val="0"/>
          <w:divBdr>
            <w:top w:val="none" w:sz="0" w:space="0" w:color="auto"/>
            <w:left w:val="none" w:sz="0" w:space="0" w:color="auto"/>
            <w:bottom w:val="none" w:sz="0" w:space="0" w:color="auto"/>
            <w:right w:val="none" w:sz="0" w:space="0" w:color="auto"/>
          </w:divBdr>
        </w:div>
        <w:div w:id="296570964">
          <w:marLeft w:val="547"/>
          <w:marRight w:val="0"/>
          <w:marTop w:val="150"/>
          <w:marBottom w:val="0"/>
          <w:divBdr>
            <w:top w:val="none" w:sz="0" w:space="0" w:color="auto"/>
            <w:left w:val="none" w:sz="0" w:space="0" w:color="auto"/>
            <w:bottom w:val="none" w:sz="0" w:space="0" w:color="auto"/>
            <w:right w:val="none" w:sz="0" w:space="0" w:color="auto"/>
          </w:divBdr>
        </w:div>
      </w:divsChild>
    </w:div>
    <w:div w:id="200239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rop.mmr.cz/cs/vyzvy-2021-2027/vyzvy/9vyzvairop"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2564F3810EF54C8966B3495EAD3B0D" ma:contentTypeVersion="5" ma:contentTypeDescription="Vytvoří nový dokument" ma:contentTypeScope="" ma:versionID="c8dc5da2d4e7f1166da72c52aecf987a">
  <xsd:schema xmlns:xsd="http://www.w3.org/2001/XMLSchema" xmlns:xs="http://www.w3.org/2001/XMLSchema" xmlns:p="http://schemas.microsoft.com/office/2006/metadata/properties" xmlns:ns2="8c40bfd5-5564-411e-8ed9-6aaae4fadbba" xmlns:ns3="5d740b9b-20fb-404d-9adb-32240ff218d4" targetNamespace="http://schemas.microsoft.com/office/2006/metadata/properties" ma:root="true" ma:fieldsID="b0c67a12aba82ff0a2ae791083ca0b07" ns2:_="" ns3:_="">
    <xsd:import namespace="8c40bfd5-5564-411e-8ed9-6aaae4fadbba"/>
    <xsd:import namespace="5d740b9b-20fb-404d-9adb-32240ff218d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40bfd5-5564-411e-8ed9-6aaae4fadb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740b9b-20fb-404d-9adb-32240ff218d4"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013185-3BFD-4B4A-9AAC-D85174BF5F70}"/>
</file>

<file path=customXml/itemProps2.xml><?xml version="1.0" encoding="utf-8"?>
<ds:datastoreItem xmlns:ds="http://schemas.openxmlformats.org/officeDocument/2006/customXml" ds:itemID="{503B0FFA-40E8-4551-8272-0BBD574D753E}"/>
</file>

<file path=customXml/itemProps3.xml><?xml version="1.0" encoding="utf-8"?>
<ds:datastoreItem xmlns:ds="http://schemas.openxmlformats.org/officeDocument/2006/customXml" ds:itemID="{675DBC22-9657-4D5A-A579-0CF8F565B03A}"/>
</file>

<file path=docProps/app.xml><?xml version="1.0" encoding="utf-8"?>
<Properties xmlns="http://schemas.openxmlformats.org/officeDocument/2006/extended-properties" xmlns:vt="http://schemas.openxmlformats.org/officeDocument/2006/docPropsVTypes">
  <Template>Normal.dotm</Template>
  <TotalTime>6</TotalTime>
  <Pages>2</Pages>
  <Words>664</Words>
  <Characters>3918</Characters>
  <Application>Microsoft Office Word</Application>
  <DocSecurity>0</DocSecurity>
  <Lines>32</Lines>
  <Paragraphs>9</Paragraphs>
  <ScaleCrop>false</ScaleCrop>
  <Company/>
  <LinksUpToDate>false</LinksUpToDate>
  <CharactersWithSpaces>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Petr</dc:creator>
  <cp:keywords/>
  <dc:description/>
  <cp:lastModifiedBy>Jan Petr</cp:lastModifiedBy>
  <cp:revision>1</cp:revision>
  <dcterms:created xsi:type="dcterms:W3CDTF">2023-09-10T07:18:00Z</dcterms:created>
  <dcterms:modified xsi:type="dcterms:W3CDTF">2023-09-10T07:25:00Z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2023-09-10T07:25:28Z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5b6b85cd-44ef-4d66-86d4-603dd2160780</vt:lpwstr>
  </property>
  <property fmtid="{D5CDD505-2E9C-101B-9397-08002B2CF9AE}" pid="7" name="MSIP_Label_defa4170-0d19-0005-0004-bc88714345d2_ActionId">
    <vt:lpwstr>d1d3fc2f-7cb7-4fd9-95e7-919b5f192c28</vt:lpwstr>
  </property>
  <property fmtid="{D5CDD505-2E9C-101B-9397-08002B2CF9AE}" pid="8" name="MSIP_Label_defa4170-0d19-0005-0004-bc88714345d2_ContentBits">
    <vt:lpwstr>0</vt:lpwstr>
  </property>
  <property fmtid="{D5CDD505-2E9C-101B-9397-08002B2CF9AE}" pid="9" name="ContentTypeId">
    <vt:lpwstr>0x010100002564F3810EF54C8966B3495EAD3B0D</vt:lpwstr>
  </property>
</Properties>
</file>